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240" w:leftChars="-100" w:firstLine="643"/>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四川兴蜀公路建设发展有限责任公司</w:t>
      </w:r>
    </w:p>
    <w:p>
      <w:pPr>
        <w:ind w:left="-240" w:leftChars="-100" w:firstLine="643"/>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车辆采购招标</w:t>
      </w:r>
    </w:p>
    <w:p>
      <w:pPr>
        <w:ind w:firstLine="880"/>
        <w:jc w:val="center"/>
        <w:rPr>
          <w:rFonts w:asciiTheme="minorEastAsia" w:hAnsiTheme="minorEastAsia" w:eastAsiaTheme="minorEastAsia" w:cstheme="minorEastAsia"/>
          <w:sz w:val="44"/>
          <w:szCs w:val="44"/>
        </w:rPr>
      </w:pPr>
    </w:p>
    <w:p>
      <w:pPr>
        <w:spacing w:line="1500" w:lineRule="exact"/>
        <w:ind w:firstLine="1044"/>
        <w:jc w:val="center"/>
        <w:rPr>
          <w:rFonts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t>招 标 文 件</w:t>
      </w:r>
    </w:p>
    <w:p>
      <w:pPr>
        <w:ind w:firstLine="600"/>
        <w:rPr>
          <w:rFonts w:asciiTheme="minorEastAsia" w:hAnsiTheme="minorEastAsia" w:eastAsiaTheme="minorEastAsia" w:cstheme="minorEastAsia"/>
          <w:sz w:val="30"/>
        </w:rPr>
      </w:pPr>
    </w:p>
    <w:p>
      <w:pPr>
        <w:ind w:firstLine="600"/>
        <w:rPr>
          <w:rFonts w:asciiTheme="minorEastAsia" w:hAnsiTheme="minorEastAsia" w:eastAsiaTheme="minorEastAsia" w:cstheme="minorEastAsia"/>
          <w:sz w:val="30"/>
        </w:rPr>
      </w:pPr>
    </w:p>
    <w:p>
      <w:pPr>
        <w:spacing w:line="440" w:lineRule="exact"/>
        <w:ind w:firstLine="1920" w:firstLineChars="600"/>
        <w:rPr>
          <w:rFonts w:asciiTheme="minorEastAsia" w:hAnsiTheme="minorEastAsia" w:eastAsiaTheme="minorEastAsia" w:cstheme="minorEastAsia"/>
          <w:sz w:val="32"/>
          <w:szCs w:val="32"/>
        </w:rPr>
      </w:pPr>
    </w:p>
    <w:p>
      <w:pPr>
        <w:spacing w:line="440" w:lineRule="exact"/>
        <w:ind w:firstLine="1920" w:firstLineChars="600"/>
        <w:rPr>
          <w:rFonts w:asciiTheme="minorEastAsia" w:hAnsiTheme="minorEastAsia" w:eastAsiaTheme="minorEastAsia" w:cstheme="minorEastAsia"/>
          <w:sz w:val="32"/>
          <w:szCs w:val="32"/>
        </w:rPr>
      </w:pPr>
    </w:p>
    <w:p>
      <w:pPr>
        <w:spacing w:line="440" w:lineRule="exact"/>
        <w:ind w:firstLine="480" w:firstLineChars="150"/>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招标人：</w:t>
      </w:r>
      <w:r>
        <w:rPr>
          <w:rFonts w:hint="eastAsia" w:asciiTheme="minorEastAsia" w:hAnsiTheme="minorEastAsia" w:eastAsiaTheme="minorEastAsia" w:cstheme="minorEastAsia"/>
          <w:sz w:val="32"/>
          <w:szCs w:val="32"/>
          <w:u w:val="single"/>
        </w:rPr>
        <w:t>四川兴蜀公路建设发展有限责任公司</w:t>
      </w:r>
      <w:r>
        <w:rPr>
          <w:rFonts w:hint="eastAsia" w:asciiTheme="minorEastAsia" w:hAnsiTheme="minorEastAsia" w:eastAsiaTheme="minorEastAsia" w:cstheme="minorEastAsia"/>
          <w:sz w:val="32"/>
          <w:szCs w:val="32"/>
        </w:rPr>
        <w:t>（单位盖章）</w:t>
      </w:r>
    </w:p>
    <w:p>
      <w:pPr>
        <w:spacing w:line="440" w:lineRule="exact"/>
        <w:ind w:firstLine="640"/>
        <w:rPr>
          <w:rFonts w:asciiTheme="minorEastAsia" w:hAnsiTheme="minorEastAsia" w:eastAsiaTheme="minorEastAsia" w:cstheme="minorEastAsia"/>
          <w:sz w:val="32"/>
          <w:szCs w:val="32"/>
        </w:rPr>
      </w:pPr>
    </w:p>
    <w:p>
      <w:pPr>
        <w:spacing w:line="440" w:lineRule="exact"/>
        <w:ind w:firstLine="640"/>
        <w:rPr>
          <w:rFonts w:asciiTheme="minorEastAsia" w:hAnsiTheme="minorEastAsia" w:eastAsiaTheme="minorEastAsia" w:cstheme="minorEastAsia"/>
          <w:sz w:val="32"/>
          <w:szCs w:val="32"/>
        </w:rPr>
      </w:pPr>
    </w:p>
    <w:p>
      <w:pPr>
        <w:spacing w:line="440" w:lineRule="exact"/>
        <w:ind w:firstLine="640"/>
        <w:rPr>
          <w:rFonts w:asciiTheme="minorEastAsia" w:hAnsiTheme="minorEastAsia" w:eastAsiaTheme="minorEastAsia" w:cstheme="minorEastAsia"/>
          <w:sz w:val="32"/>
          <w:szCs w:val="32"/>
        </w:rPr>
      </w:pPr>
    </w:p>
    <w:p>
      <w:pPr>
        <w:spacing w:line="440" w:lineRule="exact"/>
        <w:ind w:firstLine="640"/>
        <w:rPr>
          <w:rFonts w:asciiTheme="minorEastAsia" w:hAnsiTheme="minorEastAsia" w:eastAsiaTheme="minorEastAsia" w:cstheme="minorEastAsia"/>
          <w:sz w:val="32"/>
          <w:szCs w:val="32"/>
        </w:rPr>
      </w:pPr>
    </w:p>
    <w:p>
      <w:pPr>
        <w:spacing w:line="440" w:lineRule="exact"/>
        <w:ind w:firstLine="640"/>
        <w:rPr>
          <w:rFonts w:asciiTheme="minorEastAsia" w:hAnsiTheme="minorEastAsia" w:eastAsiaTheme="minorEastAsia" w:cstheme="minorEastAsia"/>
          <w:sz w:val="32"/>
          <w:szCs w:val="32"/>
        </w:rPr>
      </w:pPr>
    </w:p>
    <w:p>
      <w:pPr>
        <w:spacing w:line="240" w:lineRule="auto"/>
        <w:ind w:firstLine="0" w:firstLineChars="0"/>
        <w:jc w:val="center"/>
        <w:rPr>
          <w:rFonts w:ascii="宋体" w:hAnsi="宋体"/>
          <w:sz w:val="32"/>
          <w:szCs w:val="32"/>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720" w:footer="720" w:gutter="0"/>
          <w:pgNumType w:start="1"/>
          <w:cols w:space="720" w:num="1"/>
          <w:docGrid w:linePitch="326" w:charSpace="0"/>
        </w:sectPr>
      </w:pPr>
      <w:r>
        <w:rPr>
          <w:rFonts w:hint="eastAsia" w:asciiTheme="minorEastAsia" w:hAnsiTheme="minorEastAsia" w:eastAsiaTheme="minorEastAsia" w:cstheme="minorEastAsia"/>
          <w:sz w:val="32"/>
          <w:szCs w:val="32"/>
        </w:rPr>
        <w:t>2021年5月</w:t>
      </w:r>
    </w:p>
    <w:p>
      <w:pPr>
        <w:ind w:right="-1282" w:rightChars="-534" w:firstLine="643"/>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四川兴蜀公路建设发展有限责任公司</w:t>
      </w:r>
    </w:p>
    <w:p>
      <w:pPr>
        <w:ind w:left="-240" w:leftChars="-100" w:firstLine="643"/>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车辆采购招标公告</w:t>
      </w:r>
    </w:p>
    <w:p>
      <w:pPr>
        <w:pStyle w:val="6"/>
        <w:spacing w:line="240" w:lineRule="auto"/>
      </w:pPr>
      <w:bookmarkStart w:id="0" w:name="_Toc13766"/>
      <w:r>
        <w:t>1.招标条件</w:t>
      </w:r>
      <w:bookmarkEnd w:id="0"/>
    </w:p>
    <w:p>
      <w:pPr>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本建设资金来自</w:t>
      </w:r>
      <w:r>
        <w:rPr>
          <w:rFonts w:hint="eastAsia" w:asciiTheme="minorEastAsia" w:hAnsiTheme="minorEastAsia" w:eastAsiaTheme="minorEastAsia" w:cstheme="minorEastAsia"/>
          <w:szCs w:val="24"/>
          <w:u w:val="single"/>
        </w:rPr>
        <w:t>公司自有资金</w:t>
      </w:r>
      <w:r>
        <w:rPr>
          <w:rFonts w:hint="eastAsia" w:asciiTheme="minorEastAsia" w:hAnsiTheme="minorEastAsia" w:eastAsiaTheme="minorEastAsia" w:cstheme="minorEastAsia"/>
          <w:szCs w:val="24"/>
        </w:rPr>
        <w:t>，招标人为</w:t>
      </w:r>
      <w:r>
        <w:rPr>
          <w:rFonts w:hint="eastAsia" w:asciiTheme="minorEastAsia" w:hAnsiTheme="minorEastAsia" w:eastAsiaTheme="minorEastAsia" w:cstheme="minorEastAsia"/>
          <w:szCs w:val="24"/>
          <w:u w:val="single"/>
        </w:rPr>
        <w:t>四川兴蜀公路建设发展有限责任公司</w:t>
      </w:r>
      <w:r>
        <w:rPr>
          <w:rFonts w:hint="eastAsia" w:asciiTheme="minorEastAsia" w:hAnsiTheme="minorEastAsia" w:eastAsiaTheme="minorEastAsia" w:cstheme="minorEastAsia"/>
          <w:szCs w:val="24"/>
        </w:rPr>
        <w:t>。现对公司</w:t>
      </w:r>
      <w:r>
        <w:rPr>
          <w:rFonts w:hint="eastAsia" w:asciiTheme="minorEastAsia" w:hAnsiTheme="minorEastAsia" w:eastAsiaTheme="minorEastAsia" w:cstheme="minorEastAsia"/>
          <w:b/>
          <w:bCs/>
          <w:szCs w:val="24"/>
          <w:u w:val="single"/>
        </w:rPr>
        <w:t>公务车辆采购</w:t>
      </w:r>
      <w:r>
        <w:rPr>
          <w:rFonts w:hint="eastAsia" w:asciiTheme="minorEastAsia" w:hAnsiTheme="minorEastAsia" w:eastAsiaTheme="minorEastAsia" w:cstheme="minorEastAsia"/>
          <w:szCs w:val="24"/>
        </w:rPr>
        <w:t>进行公开招标。</w:t>
      </w:r>
    </w:p>
    <w:p>
      <w:pPr>
        <w:pStyle w:val="6"/>
        <w:spacing w:line="240" w:lineRule="auto"/>
      </w:pPr>
      <w:bookmarkStart w:id="1" w:name="_Toc17815"/>
      <w:r>
        <w:t>2.</w:t>
      </w:r>
      <w:r>
        <w:rPr>
          <w:rFonts w:hint="eastAsia"/>
        </w:rPr>
        <w:t>招标范围</w:t>
      </w:r>
      <w:bookmarkEnd w:id="1"/>
    </w:p>
    <w:p>
      <w:pPr>
        <w:ind w:firstLine="480"/>
        <w:rPr>
          <w:rFonts w:ascii="宋体" w:hAnsi="宋体" w:cs="宋体"/>
          <w:szCs w:val="24"/>
        </w:rPr>
      </w:pPr>
      <w:r>
        <w:rPr>
          <w:rFonts w:hint="eastAsia" w:ascii="宋体" w:hAnsi="宋体" w:cs="宋体"/>
          <w:szCs w:val="24"/>
        </w:rPr>
        <w:t>具体设备型号及数量如下：</w:t>
      </w:r>
    </w:p>
    <w:tbl>
      <w:tblPr>
        <w:tblStyle w:val="30"/>
        <w:tblW w:w="0" w:type="auto"/>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428"/>
        <w:gridCol w:w="941"/>
        <w:gridCol w:w="1059"/>
        <w:gridCol w:w="1632"/>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37" w:type="dxa"/>
          </w:tcPr>
          <w:p>
            <w:pPr>
              <w:widowControl/>
              <w:ind w:firstLine="0" w:firstLineChars="0"/>
              <w:jc w:val="center"/>
              <w:textAlignment w:val="top"/>
              <w:rPr>
                <w:rFonts w:ascii="宋体" w:hAnsi="宋体" w:cs="宋体"/>
                <w:szCs w:val="24"/>
              </w:rPr>
            </w:pPr>
            <w:r>
              <w:rPr>
                <w:rFonts w:hint="eastAsia" w:ascii="宋体" w:hAnsi="宋体" w:cs="宋体"/>
                <w:kern w:val="0"/>
                <w:szCs w:val="24"/>
              </w:rPr>
              <w:t>序号</w:t>
            </w:r>
          </w:p>
        </w:tc>
        <w:tc>
          <w:tcPr>
            <w:tcW w:w="1428" w:type="dxa"/>
          </w:tcPr>
          <w:p>
            <w:pPr>
              <w:widowControl/>
              <w:ind w:firstLine="0" w:firstLineChars="0"/>
              <w:jc w:val="center"/>
              <w:textAlignment w:val="top"/>
              <w:rPr>
                <w:rFonts w:ascii="宋体" w:hAnsi="宋体" w:cs="宋体"/>
                <w:szCs w:val="24"/>
              </w:rPr>
            </w:pPr>
            <w:r>
              <w:rPr>
                <w:rFonts w:hint="eastAsia" w:ascii="宋体" w:hAnsi="宋体" w:cs="宋体"/>
                <w:kern w:val="0"/>
                <w:szCs w:val="24"/>
              </w:rPr>
              <w:t>设备名称</w:t>
            </w:r>
          </w:p>
        </w:tc>
        <w:tc>
          <w:tcPr>
            <w:tcW w:w="941" w:type="dxa"/>
          </w:tcPr>
          <w:p>
            <w:pPr>
              <w:widowControl/>
              <w:ind w:firstLine="0" w:firstLineChars="0"/>
              <w:jc w:val="center"/>
              <w:textAlignment w:val="top"/>
              <w:rPr>
                <w:rFonts w:ascii="宋体" w:hAnsi="宋体" w:cs="宋体"/>
                <w:szCs w:val="24"/>
              </w:rPr>
            </w:pPr>
            <w:r>
              <w:rPr>
                <w:rFonts w:hint="eastAsia" w:ascii="宋体" w:hAnsi="宋体" w:cs="宋体"/>
                <w:kern w:val="0"/>
                <w:szCs w:val="24"/>
              </w:rPr>
              <w:t>单位</w:t>
            </w:r>
          </w:p>
        </w:tc>
        <w:tc>
          <w:tcPr>
            <w:tcW w:w="1059" w:type="dxa"/>
          </w:tcPr>
          <w:p>
            <w:pPr>
              <w:widowControl/>
              <w:ind w:firstLine="0" w:firstLineChars="0"/>
              <w:jc w:val="center"/>
              <w:textAlignment w:val="top"/>
              <w:rPr>
                <w:rFonts w:ascii="宋体" w:hAnsi="宋体" w:cs="宋体"/>
                <w:szCs w:val="24"/>
              </w:rPr>
            </w:pPr>
            <w:r>
              <w:rPr>
                <w:rFonts w:hint="eastAsia" w:ascii="宋体" w:hAnsi="宋体" w:cs="宋体"/>
                <w:kern w:val="0"/>
                <w:szCs w:val="24"/>
              </w:rPr>
              <w:t>数量</w:t>
            </w:r>
          </w:p>
        </w:tc>
        <w:tc>
          <w:tcPr>
            <w:tcW w:w="1632" w:type="dxa"/>
          </w:tcPr>
          <w:p>
            <w:pPr>
              <w:tabs>
                <w:tab w:val="left" w:pos="240"/>
              </w:tabs>
              <w:ind w:firstLine="0" w:firstLineChars="0"/>
              <w:jc w:val="center"/>
              <w:rPr>
                <w:rFonts w:ascii="宋体" w:hAnsi="宋体" w:cs="宋体"/>
                <w:szCs w:val="24"/>
              </w:rPr>
            </w:pPr>
            <w:r>
              <w:rPr>
                <w:rFonts w:hint="eastAsia" w:ascii="宋体" w:hAnsi="宋体" w:cs="宋体"/>
                <w:szCs w:val="24"/>
              </w:rPr>
              <w:t>排放标准</w:t>
            </w:r>
          </w:p>
          <w:p>
            <w:pPr>
              <w:tabs>
                <w:tab w:val="left" w:pos="240"/>
              </w:tabs>
              <w:ind w:firstLine="0" w:firstLineChars="0"/>
              <w:jc w:val="center"/>
              <w:rPr>
                <w:rFonts w:ascii="宋体" w:hAnsi="宋体" w:cs="宋体"/>
                <w:szCs w:val="24"/>
              </w:rPr>
            </w:pPr>
            <w:r>
              <w:rPr>
                <w:rFonts w:hint="eastAsia" w:ascii="宋体" w:hAnsi="宋体" w:cs="宋体"/>
                <w:szCs w:val="24"/>
              </w:rPr>
              <w:t>（排量）</w:t>
            </w:r>
          </w:p>
        </w:tc>
        <w:tc>
          <w:tcPr>
            <w:tcW w:w="1530" w:type="dxa"/>
          </w:tcPr>
          <w:p>
            <w:pPr>
              <w:ind w:firstLine="0" w:firstLineChars="0"/>
              <w:jc w:val="center"/>
              <w:rPr>
                <w:rFonts w:ascii="宋体" w:hAnsi="宋体" w:cs="宋体"/>
                <w:szCs w:val="24"/>
              </w:rPr>
            </w:pPr>
            <w:r>
              <w:rPr>
                <w:rFonts w:hint="eastAsia" w:ascii="宋体" w:hAnsi="宋体" w:cs="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837" w:type="dxa"/>
          </w:tcPr>
          <w:p>
            <w:pPr>
              <w:ind w:firstLine="0" w:firstLineChars="0"/>
              <w:jc w:val="center"/>
              <w:rPr>
                <w:rFonts w:ascii="宋体" w:hAnsi="宋体" w:cs="宋体"/>
                <w:szCs w:val="24"/>
              </w:rPr>
            </w:pPr>
            <w:r>
              <w:rPr>
                <w:rFonts w:hint="eastAsia" w:ascii="宋体" w:hAnsi="宋体" w:cs="宋体"/>
                <w:szCs w:val="24"/>
              </w:rPr>
              <w:t>1</w:t>
            </w:r>
          </w:p>
        </w:tc>
        <w:tc>
          <w:tcPr>
            <w:tcW w:w="1428" w:type="dxa"/>
          </w:tcPr>
          <w:p>
            <w:pPr>
              <w:widowControl/>
              <w:ind w:firstLine="0" w:firstLineChars="0"/>
              <w:jc w:val="center"/>
              <w:rPr>
                <w:rFonts w:ascii="宋体" w:hAnsi="宋体" w:cs="宋体"/>
                <w:szCs w:val="24"/>
              </w:rPr>
            </w:pPr>
            <w:r>
              <w:rPr>
                <w:rFonts w:hint="eastAsia" w:ascii="宋体" w:hAnsi="宋体" w:cs="宋体"/>
                <w:szCs w:val="24"/>
              </w:rPr>
              <w:t>丰田越野车</w:t>
            </w:r>
          </w:p>
        </w:tc>
        <w:tc>
          <w:tcPr>
            <w:tcW w:w="941" w:type="dxa"/>
          </w:tcPr>
          <w:p>
            <w:pPr>
              <w:widowControl/>
              <w:ind w:firstLine="0" w:firstLineChars="0"/>
              <w:jc w:val="center"/>
              <w:textAlignment w:val="top"/>
              <w:rPr>
                <w:rFonts w:ascii="宋体" w:hAnsi="宋体" w:cs="宋体"/>
                <w:szCs w:val="24"/>
              </w:rPr>
            </w:pPr>
            <w:r>
              <w:rPr>
                <w:rFonts w:hint="eastAsia" w:ascii="宋体" w:hAnsi="宋体" w:cs="宋体"/>
                <w:kern w:val="0"/>
                <w:szCs w:val="24"/>
              </w:rPr>
              <w:t>台</w:t>
            </w:r>
          </w:p>
        </w:tc>
        <w:tc>
          <w:tcPr>
            <w:tcW w:w="1059" w:type="dxa"/>
          </w:tcPr>
          <w:p>
            <w:pPr>
              <w:widowControl/>
              <w:ind w:firstLine="480"/>
              <w:jc w:val="center"/>
              <w:textAlignment w:val="top"/>
              <w:rPr>
                <w:rFonts w:ascii="宋体" w:hAnsi="宋体" w:cs="宋体"/>
                <w:szCs w:val="24"/>
              </w:rPr>
            </w:pPr>
            <w:r>
              <w:rPr>
                <w:rFonts w:hint="eastAsia" w:ascii="宋体" w:hAnsi="宋体" w:cs="宋体"/>
                <w:szCs w:val="24"/>
              </w:rPr>
              <w:t>4</w:t>
            </w:r>
          </w:p>
        </w:tc>
        <w:tc>
          <w:tcPr>
            <w:tcW w:w="1632" w:type="dxa"/>
          </w:tcPr>
          <w:p>
            <w:pPr>
              <w:widowControl/>
              <w:ind w:firstLine="0" w:firstLineChars="0"/>
              <w:jc w:val="center"/>
              <w:textAlignment w:val="top"/>
              <w:rPr>
                <w:rFonts w:ascii="宋体" w:hAnsi="宋体" w:cs="宋体"/>
                <w:szCs w:val="24"/>
              </w:rPr>
            </w:pPr>
            <w:r>
              <w:rPr>
                <w:rFonts w:hint="eastAsia" w:ascii="宋体" w:hAnsi="宋体" w:cs="宋体"/>
                <w:szCs w:val="24"/>
              </w:rPr>
              <w:t>3.5</w:t>
            </w:r>
          </w:p>
        </w:tc>
        <w:tc>
          <w:tcPr>
            <w:tcW w:w="1530" w:type="dxa"/>
          </w:tcPr>
          <w:p>
            <w:pPr>
              <w:ind w:firstLine="480"/>
              <w:jc w:val="center"/>
              <w:rPr>
                <w:rFonts w:ascii="宋体" w:hAnsi="宋体" w:cs="宋体"/>
                <w:szCs w:val="24"/>
              </w:rPr>
            </w:pPr>
          </w:p>
        </w:tc>
      </w:tr>
    </w:tbl>
    <w:p>
      <w:pPr>
        <w:pStyle w:val="6"/>
      </w:pPr>
      <w:bookmarkStart w:id="2" w:name="_Toc32698"/>
      <w:r>
        <w:t>3.投标人资格要求</w:t>
      </w:r>
      <w:bookmarkEnd w:id="2"/>
    </w:p>
    <w:p>
      <w:pPr>
        <w:ind w:firstLine="480"/>
        <w:rPr>
          <w:rFonts w:ascii="宋体" w:hAnsi="宋体" w:cs="宋体"/>
          <w:szCs w:val="24"/>
        </w:rPr>
      </w:pPr>
      <w:r>
        <w:rPr>
          <w:rFonts w:hint="eastAsia" w:ascii="宋体" w:hAnsi="宋体" w:cs="宋体"/>
          <w:szCs w:val="24"/>
        </w:rPr>
        <w:t>3.1 资格要求</w:t>
      </w:r>
    </w:p>
    <w:p>
      <w:pPr>
        <w:ind w:firstLine="480"/>
        <w:rPr>
          <w:rFonts w:ascii="宋体" w:hAnsi="宋体" w:cs="宋体"/>
          <w:szCs w:val="24"/>
        </w:rPr>
      </w:pPr>
      <w:r>
        <w:rPr>
          <w:rFonts w:hint="eastAsia" w:ascii="宋体" w:hAnsi="宋体" w:cs="宋体"/>
          <w:szCs w:val="24"/>
        </w:rPr>
        <w:t>（1） 具有独立法人资格，持有营业执照的制造商或代理商或经销商；</w:t>
      </w:r>
    </w:p>
    <w:p>
      <w:pPr>
        <w:ind w:firstLine="480"/>
        <w:rPr>
          <w:rFonts w:ascii="宋体" w:hAnsi="宋体" w:cs="宋体"/>
          <w:szCs w:val="24"/>
        </w:rPr>
      </w:pPr>
      <w:r>
        <w:rPr>
          <w:rFonts w:hint="eastAsia" w:ascii="宋体" w:hAnsi="宋体" w:cs="宋体"/>
          <w:szCs w:val="24"/>
        </w:rPr>
        <w:t>（2） 代理商或经销商具有与本招标项目相应的供货能力。</w:t>
      </w:r>
    </w:p>
    <w:p>
      <w:pPr>
        <w:ind w:firstLine="480"/>
        <w:rPr>
          <w:rFonts w:ascii="宋体" w:hAnsi="宋体" w:cs="宋体"/>
          <w:szCs w:val="24"/>
        </w:rPr>
      </w:pPr>
      <w:r>
        <w:rPr>
          <w:rFonts w:hint="eastAsia" w:ascii="宋体" w:hAnsi="宋体" w:cs="宋体"/>
          <w:szCs w:val="24"/>
        </w:rPr>
        <w:t>3.2 本次招标不接受联合体投标。</w:t>
      </w:r>
    </w:p>
    <w:p>
      <w:pPr>
        <w:pStyle w:val="6"/>
      </w:pPr>
      <w:bookmarkStart w:id="3" w:name="_Toc9728"/>
      <w:r>
        <w:t>4.</w:t>
      </w:r>
      <w:r>
        <w:rPr>
          <w:rFonts w:hint="eastAsia"/>
        </w:rPr>
        <w:t>招标文件的获取</w:t>
      </w:r>
      <w:bookmarkEnd w:id="3"/>
    </w:p>
    <w:p>
      <w:pPr>
        <w:tabs>
          <w:tab w:val="left" w:pos="360"/>
        </w:tabs>
        <w:ind w:firstLine="480"/>
        <w:rPr>
          <w:rFonts w:ascii="宋体" w:hAnsi="宋体" w:cs="宋体"/>
          <w:szCs w:val="24"/>
        </w:rPr>
      </w:pPr>
      <w:r>
        <w:rPr>
          <w:rFonts w:hint="eastAsia" w:ascii="宋体" w:hAnsi="宋体" w:cs="宋体"/>
          <w:szCs w:val="24"/>
        </w:rPr>
        <w:t>凡有意参加投标者，请于</w:t>
      </w:r>
      <w:r>
        <w:rPr>
          <w:rFonts w:hint="eastAsia" w:ascii="宋体" w:hAnsi="宋体" w:cs="宋体"/>
          <w:szCs w:val="24"/>
          <w:u w:val="single"/>
        </w:rPr>
        <w:t>2021</w:t>
      </w:r>
      <w:r>
        <w:rPr>
          <w:rFonts w:hint="eastAsia" w:ascii="宋体" w:hAnsi="宋体" w:cs="宋体"/>
          <w:szCs w:val="24"/>
        </w:rPr>
        <w:t>年</w:t>
      </w:r>
      <w:r>
        <w:rPr>
          <w:rFonts w:hint="eastAsia" w:ascii="宋体" w:hAnsi="宋体" w:cs="宋体"/>
          <w:szCs w:val="24"/>
          <w:u w:val="single"/>
        </w:rPr>
        <w:t xml:space="preserve">  5  </w:t>
      </w:r>
      <w:r>
        <w:rPr>
          <w:rFonts w:hint="eastAsia" w:ascii="宋体" w:hAnsi="宋体" w:cs="宋体"/>
          <w:szCs w:val="24"/>
        </w:rPr>
        <w:t>月</w:t>
      </w:r>
      <w:r>
        <w:rPr>
          <w:rFonts w:hint="eastAsia" w:ascii="宋体" w:hAnsi="宋体" w:cs="宋体"/>
          <w:szCs w:val="24"/>
          <w:u w:val="single"/>
        </w:rPr>
        <w:t xml:space="preserve">   7 </w:t>
      </w:r>
      <w:r>
        <w:rPr>
          <w:rFonts w:hint="eastAsia" w:ascii="宋体" w:hAnsi="宋体" w:cs="宋体"/>
          <w:szCs w:val="24"/>
        </w:rPr>
        <w:t>日至 2021 年</w:t>
      </w:r>
      <w:r>
        <w:rPr>
          <w:rFonts w:hint="eastAsia" w:ascii="宋体" w:hAnsi="宋体" w:cs="宋体"/>
          <w:szCs w:val="24"/>
          <w:u w:val="single"/>
        </w:rPr>
        <w:t xml:space="preserve">  5  </w:t>
      </w:r>
      <w:r>
        <w:rPr>
          <w:rFonts w:hint="eastAsia" w:ascii="宋体" w:hAnsi="宋体" w:cs="宋体"/>
          <w:szCs w:val="24"/>
        </w:rPr>
        <w:t>月</w:t>
      </w:r>
      <w:r>
        <w:rPr>
          <w:rFonts w:hint="eastAsia" w:ascii="宋体" w:hAnsi="宋体" w:cs="宋体"/>
          <w:szCs w:val="24"/>
          <w:u w:val="single"/>
        </w:rPr>
        <w:t xml:space="preserve">  13 </w:t>
      </w:r>
      <w:r>
        <w:rPr>
          <w:rFonts w:hint="eastAsia" w:ascii="宋体" w:hAnsi="宋体" w:cs="宋体"/>
          <w:szCs w:val="24"/>
        </w:rPr>
        <w:t>日， 每日上午09：00时至下午17：00 时（北京时间，下同），在四川兴蜀公司网(</w:t>
      </w:r>
      <w:r>
        <w:fldChar w:fldCharType="begin"/>
      </w:r>
      <w:r>
        <w:instrText xml:space="preserve"> HYPERLINK "http://www.scxsgs.com" </w:instrText>
      </w:r>
      <w:r>
        <w:fldChar w:fldCharType="separate"/>
      </w:r>
      <w:r>
        <w:rPr>
          <w:rStyle w:val="34"/>
          <w:rFonts w:hint="eastAsia" w:ascii="Times New Roman" w:hAnsi="Times New Roman"/>
          <w:szCs w:val="24"/>
        </w:rPr>
        <w:t>http://www.scxsgs.com</w:t>
      </w:r>
      <w:r>
        <w:rPr>
          <w:rStyle w:val="34"/>
          <w:rFonts w:hint="eastAsia" w:ascii="Times New Roman" w:hAnsi="Times New Roman"/>
          <w:szCs w:val="24"/>
        </w:rPr>
        <w:fldChar w:fldCharType="end"/>
      </w:r>
      <w:r>
        <w:rPr>
          <w:rFonts w:hint="eastAsia" w:ascii="Times New Roman" w:hAnsi="Times New Roman"/>
          <w:szCs w:val="24"/>
          <w:u w:val="single"/>
        </w:rPr>
        <w:t>）</w:t>
      </w:r>
      <w:r>
        <w:rPr>
          <w:rFonts w:hint="eastAsia" w:ascii="宋体" w:hAnsi="宋体" w:cs="宋体"/>
          <w:szCs w:val="24"/>
        </w:rPr>
        <w:t xml:space="preserve">自行下载招标文件，此为获取招标文件唯一途径。 </w:t>
      </w:r>
    </w:p>
    <w:p>
      <w:pPr>
        <w:pStyle w:val="6"/>
      </w:pPr>
      <w:r>
        <w:t>5.</w:t>
      </w:r>
      <w:r>
        <w:rPr>
          <w:rFonts w:hint="eastAsia"/>
        </w:rPr>
        <w:t>投标文件的递交</w:t>
      </w:r>
    </w:p>
    <w:p>
      <w:pPr>
        <w:ind w:firstLine="480"/>
        <w:jc w:val="left"/>
        <w:rPr>
          <w:rFonts w:ascii="Times New Roman" w:hAnsi="Times New Roman"/>
          <w:szCs w:val="24"/>
        </w:rPr>
      </w:pPr>
      <w:r>
        <w:rPr>
          <w:rFonts w:hint="eastAsia" w:ascii="Times New Roman" w:hAnsi="Times New Roman"/>
          <w:szCs w:val="24"/>
        </w:rPr>
        <w:t>5.1 投标文件递交的截止时间（投标截止时间，下同）为</w:t>
      </w:r>
      <w:r>
        <w:rPr>
          <w:rFonts w:hint="eastAsia" w:ascii="Times New Roman" w:hAnsi="Times New Roman"/>
          <w:szCs w:val="24"/>
          <w:u w:val="single"/>
        </w:rPr>
        <w:t xml:space="preserve"> 2021 </w:t>
      </w:r>
      <w:r>
        <w:rPr>
          <w:rFonts w:hint="eastAsia" w:ascii="Times New Roman" w:hAnsi="Times New Roman"/>
          <w:szCs w:val="24"/>
        </w:rPr>
        <w:t xml:space="preserve">年 </w:t>
      </w:r>
      <w:r>
        <w:rPr>
          <w:rFonts w:hint="eastAsia" w:ascii="Times New Roman" w:hAnsi="Times New Roman"/>
          <w:szCs w:val="24"/>
          <w:u w:val="single"/>
        </w:rPr>
        <w:t xml:space="preserve"> 5  </w:t>
      </w:r>
      <w:r>
        <w:rPr>
          <w:rFonts w:hint="eastAsia" w:ascii="Times New Roman" w:hAnsi="Times New Roman"/>
          <w:szCs w:val="24"/>
        </w:rPr>
        <w:t>月</w:t>
      </w:r>
      <w:r>
        <w:rPr>
          <w:rFonts w:hint="eastAsia" w:ascii="Times New Roman" w:hAnsi="Times New Roman"/>
          <w:szCs w:val="24"/>
          <w:u w:val="single"/>
        </w:rPr>
        <w:t xml:space="preserve">  14 </w:t>
      </w:r>
      <w:r>
        <w:rPr>
          <w:rFonts w:hint="eastAsia" w:ascii="Times New Roman" w:hAnsi="Times New Roman"/>
          <w:szCs w:val="24"/>
        </w:rPr>
        <w:t>日</w:t>
      </w:r>
      <w:r>
        <w:rPr>
          <w:rFonts w:hint="eastAsia" w:ascii="Times New Roman" w:hAnsi="Times New Roman"/>
          <w:szCs w:val="24"/>
          <w:u w:val="single"/>
        </w:rPr>
        <w:t xml:space="preserve">10 </w:t>
      </w:r>
      <w:r>
        <w:rPr>
          <w:rFonts w:hint="eastAsia" w:ascii="Times New Roman" w:hAnsi="Times New Roman"/>
          <w:szCs w:val="24"/>
        </w:rPr>
        <w:t>时</w:t>
      </w:r>
      <w:r>
        <w:rPr>
          <w:rFonts w:hint="eastAsia" w:ascii="Times New Roman" w:hAnsi="Times New Roman"/>
          <w:szCs w:val="24"/>
          <w:u w:val="single"/>
        </w:rPr>
        <w:t xml:space="preserve"> 0 </w:t>
      </w:r>
      <w:r>
        <w:rPr>
          <w:rFonts w:hint="eastAsia" w:ascii="Times New Roman" w:hAnsi="Times New Roman"/>
          <w:szCs w:val="24"/>
        </w:rPr>
        <w:t>分，地点为</w:t>
      </w:r>
      <w:r>
        <w:rPr>
          <w:rFonts w:hint="eastAsia" w:ascii="宋体" w:hAnsi="宋体" w:cs="宋体"/>
          <w:szCs w:val="24"/>
          <w:u w:val="single"/>
        </w:rPr>
        <w:t>四川兴蜀公路建设发展有限责任公司</w:t>
      </w:r>
      <w:r>
        <w:rPr>
          <w:rFonts w:hint="eastAsia" w:ascii="Times New Roman" w:hAnsi="Times New Roman"/>
          <w:szCs w:val="24"/>
          <w:u w:val="single"/>
        </w:rPr>
        <w:t>开标室</w:t>
      </w:r>
      <w:r>
        <w:rPr>
          <w:rFonts w:hint="eastAsia" w:ascii="Times New Roman" w:hAnsi="Times New Roman"/>
          <w:szCs w:val="24"/>
        </w:rPr>
        <w:t>。</w:t>
      </w:r>
    </w:p>
    <w:p>
      <w:pPr>
        <w:ind w:firstLine="480"/>
        <w:jc w:val="left"/>
        <w:rPr>
          <w:rFonts w:ascii="Times New Roman" w:hAnsi="Times New Roman"/>
          <w:szCs w:val="24"/>
        </w:rPr>
      </w:pPr>
      <w:r>
        <w:rPr>
          <w:rFonts w:hint="eastAsia" w:ascii="Times New Roman" w:hAnsi="Times New Roman"/>
          <w:szCs w:val="24"/>
        </w:rPr>
        <w:t>5.2 逾期送达的或者未送达指定地点的投标文件，招标人不予受理。</w:t>
      </w:r>
    </w:p>
    <w:p>
      <w:pPr>
        <w:pStyle w:val="6"/>
      </w:pPr>
      <w:bookmarkStart w:id="4" w:name="_Toc16593"/>
      <w:r>
        <w:t xml:space="preserve">6. </w:t>
      </w:r>
      <w:r>
        <w:rPr>
          <w:rFonts w:hint="eastAsia"/>
        </w:rPr>
        <w:t>发布公告的媒介</w:t>
      </w:r>
      <w:bookmarkEnd w:id="4"/>
    </w:p>
    <w:p>
      <w:pPr>
        <w:ind w:firstLine="480"/>
        <w:rPr>
          <w:rFonts w:ascii="Times New Roman" w:hAnsi="Times New Roman"/>
          <w:szCs w:val="24"/>
        </w:rPr>
      </w:pPr>
      <w:r>
        <w:rPr>
          <w:rFonts w:ascii="Times New Roman" w:hAnsi="Times New Roman"/>
          <w:szCs w:val="24"/>
        </w:rPr>
        <w:t>本次招标公告同时在</w:t>
      </w:r>
      <w:r>
        <w:rPr>
          <w:rFonts w:hint="eastAsia" w:ascii="宋体" w:hAnsi="宋体" w:cs="宋体"/>
          <w:szCs w:val="24"/>
        </w:rPr>
        <w:t>四川兴蜀公司网</w:t>
      </w:r>
      <w:r>
        <w:rPr>
          <w:rFonts w:ascii="Times New Roman" w:hAnsi="Times New Roman"/>
          <w:szCs w:val="24"/>
          <w:u w:val="single"/>
        </w:rPr>
        <w:t xml:space="preserve"> </w:t>
      </w:r>
      <w:r>
        <w:rPr>
          <w:rFonts w:hint="eastAsia" w:ascii="Times New Roman" w:hAnsi="Times New Roman"/>
          <w:szCs w:val="24"/>
          <w:u w:val="single"/>
        </w:rPr>
        <w:t xml:space="preserve">http://www.scxsgs.com/ </w:t>
      </w:r>
      <w:r>
        <w:rPr>
          <w:rFonts w:ascii="Times New Roman" w:hAnsi="Times New Roman"/>
          <w:szCs w:val="24"/>
        </w:rPr>
        <w:t>上发布。</w:t>
      </w:r>
    </w:p>
    <w:p>
      <w:pPr>
        <w:pStyle w:val="6"/>
        <w:spacing w:line="240" w:lineRule="auto"/>
        <w:rPr>
          <w:rFonts w:ascii="Times New Roman" w:hAnsi="Times New Roman"/>
        </w:rPr>
      </w:pPr>
      <w:bookmarkStart w:id="5" w:name="_Toc25701"/>
      <w:r>
        <w:t xml:space="preserve">7. </w:t>
      </w:r>
      <w:r>
        <w:rPr>
          <w:rFonts w:hint="eastAsia"/>
        </w:rPr>
        <w:t>联系方式</w:t>
      </w:r>
      <w:bookmarkEnd w:id="5"/>
    </w:p>
    <w:p>
      <w:pPr>
        <w:ind w:firstLine="480"/>
        <w:rPr>
          <w:rFonts w:ascii="宋体" w:hAnsi="宋体" w:cs="宋体"/>
          <w:szCs w:val="24"/>
        </w:rPr>
      </w:pPr>
      <w:bookmarkStart w:id="6" w:name="_Toc384308188"/>
      <w:bookmarkEnd w:id="6"/>
      <w:bookmarkStart w:id="7" w:name="_Toc352691453"/>
      <w:bookmarkEnd w:id="7"/>
      <w:bookmarkStart w:id="8" w:name="_Toc384308185"/>
      <w:bookmarkEnd w:id="8"/>
      <w:bookmarkStart w:id="9" w:name="_Toc300834927"/>
      <w:bookmarkEnd w:id="9"/>
      <w:bookmarkStart w:id="10" w:name="_Toc361508562"/>
      <w:bookmarkEnd w:id="10"/>
      <w:bookmarkStart w:id="11" w:name="_Toc152045512"/>
      <w:bookmarkEnd w:id="11"/>
      <w:bookmarkStart w:id="12" w:name="_Toc152045513"/>
      <w:bookmarkEnd w:id="12"/>
      <w:bookmarkStart w:id="13" w:name="_Toc369531497"/>
      <w:bookmarkEnd w:id="13"/>
      <w:bookmarkStart w:id="14" w:name="_Toc144974480"/>
      <w:bookmarkEnd w:id="14"/>
      <w:bookmarkStart w:id="15" w:name="_Toc10785"/>
      <w:bookmarkEnd w:id="15"/>
      <w:bookmarkStart w:id="16" w:name="_Toc369531495"/>
      <w:bookmarkEnd w:id="16"/>
      <w:bookmarkStart w:id="17" w:name="_Toc300834930"/>
      <w:bookmarkEnd w:id="17"/>
      <w:bookmarkStart w:id="18" w:name="_Toc361508563"/>
      <w:bookmarkEnd w:id="18"/>
      <w:bookmarkStart w:id="19" w:name="_Toc247513935"/>
      <w:bookmarkEnd w:id="19"/>
      <w:bookmarkStart w:id="20" w:name="_Toc247527535"/>
      <w:bookmarkEnd w:id="20"/>
      <w:bookmarkStart w:id="21" w:name="_Toc300834929"/>
      <w:bookmarkEnd w:id="21"/>
      <w:bookmarkStart w:id="22" w:name="_Toc247527536"/>
      <w:bookmarkEnd w:id="22"/>
      <w:bookmarkStart w:id="23" w:name="_Toc369531498"/>
      <w:bookmarkEnd w:id="23"/>
      <w:bookmarkStart w:id="24" w:name="_Toc352691456"/>
      <w:bookmarkEnd w:id="24"/>
      <w:bookmarkStart w:id="25" w:name="_Toc247513934"/>
      <w:bookmarkEnd w:id="25"/>
      <w:bookmarkStart w:id="26" w:name="_Toc152042289"/>
      <w:bookmarkEnd w:id="26"/>
      <w:bookmarkStart w:id="27" w:name="_Toc352691455"/>
      <w:bookmarkEnd w:id="27"/>
      <w:bookmarkStart w:id="28" w:name="_Toc152042288"/>
      <w:bookmarkEnd w:id="28"/>
      <w:bookmarkStart w:id="29" w:name="_Toc17972"/>
      <w:bookmarkEnd w:id="29"/>
      <w:bookmarkStart w:id="30" w:name="_Toc30817"/>
      <w:bookmarkEnd w:id="30"/>
      <w:bookmarkStart w:id="31" w:name="_Toc361508560"/>
      <w:bookmarkEnd w:id="31"/>
      <w:bookmarkStart w:id="32" w:name="_Toc144974481"/>
      <w:bookmarkEnd w:id="32"/>
      <w:bookmarkStart w:id="33" w:name="_Toc384308187"/>
      <w:bookmarkEnd w:id="33"/>
      <w:r>
        <w:rPr>
          <w:rFonts w:hint="eastAsia" w:ascii="宋体" w:hAnsi="宋体" w:cs="宋体"/>
          <w:szCs w:val="24"/>
        </w:rPr>
        <w:t>招标人：</w:t>
      </w:r>
      <w:r>
        <w:rPr>
          <w:rFonts w:hint="eastAsia" w:ascii="宋体" w:hAnsi="宋体" w:cs="宋体"/>
          <w:szCs w:val="24"/>
          <w:u w:val="single"/>
        </w:rPr>
        <w:t>四川兴蜀公路建设发展有限责任公司</w:t>
      </w:r>
    </w:p>
    <w:p>
      <w:pPr>
        <w:ind w:firstLine="480"/>
        <w:rPr>
          <w:rFonts w:ascii="宋体" w:hAnsi="宋体" w:cs="宋体"/>
          <w:szCs w:val="24"/>
          <w:u w:val="single"/>
        </w:rPr>
      </w:pPr>
      <w:r>
        <w:rPr>
          <w:rFonts w:hint="eastAsia" w:ascii="宋体" w:hAnsi="宋体" w:cs="宋体"/>
          <w:szCs w:val="24"/>
        </w:rPr>
        <w:t>地</w:t>
      </w:r>
      <w:r>
        <w:rPr>
          <w:rFonts w:hint="eastAsia" w:ascii="宋体" w:hAnsi="宋体" w:cs="宋体"/>
          <w:szCs w:val="24"/>
        </w:rPr>
        <w:tab/>
      </w:r>
      <w:r>
        <w:rPr>
          <w:rFonts w:hint="eastAsia" w:ascii="宋体" w:hAnsi="宋体" w:cs="宋体"/>
          <w:szCs w:val="24"/>
        </w:rPr>
        <w:t xml:space="preserve">  址：</w:t>
      </w:r>
      <w:r>
        <w:rPr>
          <w:rFonts w:hint="eastAsia" w:ascii="宋体" w:hAnsi="宋体" w:cs="宋体"/>
          <w:szCs w:val="24"/>
          <w:u w:val="single"/>
        </w:rPr>
        <w:t>成都市洗面桥横街26号</w:t>
      </w:r>
    </w:p>
    <w:p>
      <w:pPr>
        <w:ind w:firstLine="480"/>
        <w:rPr>
          <w:rFonts w:ascii="宋体" w:hAnsi="宋体" w:cs="宋体"/>
          <w:szCs w:val="24"/>
          <w:u w:val="single"/>
        </w:rPr>
      </w:pPr>
      <w:r>
        <w:rPr>
          <w:rFonts w:hint="eastAsia" w:ascii="宋体" w:hAnsi="宋体" w:cs="宋体"/>
          <w:szCs w:val="24"/>
        </w:rPr>
        <w:t>邮    编：</w:t>
      </w:r>
      <w:r>
        <w:rPr>
          <w:rFonts w:hint="eastAsia" w:ascii="宋体" w:hAnsi="宋体" w:cs="宋体"/>
          <w:szCs w:val="24"/>
          <w:u w:val="single"/>
        </w:rPr>
        <w:t xml:space="preserve"> 610041   </w:t>
      </w:r>
    </w:p>
    <w:p>
      <w:pPr>
        <w:ind w:firstLine="480"/>
        <w:rPr>
          <w:rFonts w:ascii="宋体" w:hAnsi="宋体" w:cs="宋体"/>
          <w:szCs w:val="24"/>
        </w:rPr>
      </w:pPr>
      <w:r>
        <w:rPr>
          <w:rFonts w:hint="eastAsia" w:ascii="宋体" w:hAnsi="宋体" w:cs="宋体"/>
          <w:szCs w:val="24"/>
        </w:rPr>
        <w:t>联 系 人：</w:t>
      </w:r>
      <w:r>
        <w:rPr>
          <w:rFonts w:hint="eastAsia" w:ascii="宋体" w:hAnsi="宋体" w:cs="宋体"/>
          <w:szCs w:val="24"/>
          <w:u w:val="single"/>
        </w:rPr>
        <w:t>何先生</w:t>
      </w:r>
    </w:p>
    <w:p>
      <w:pPr>
        <w:ind w:firstLine="480"/>
        <w:rPr>
          <w:rFonts w:ascii="宋体" w:hAnsi="宋体" w:cs="宋体"/>
          <w:szCs w:val="24"/>
        </w:rPr>
      </w:pPr>
      <w:r>
        <w:rPr>
          <w:rFonts w:hint="eastAsia" w:ascii="宋体" w:hAnsi="宋体" w:cs="宋体"/>
          <w:szCs w:val="24"/>
        </w:rPr>
        <w:t>电    话：</w:t>
      </w:r>
      <w:r>
        <w:rPr>
          <w:rFonts w:hint="eastAsia" w:ascii="宋体" w:hAnsi="宋体" w:cs="宋体"/>
          <w:szCs w:val="24"/>
          <w:u w:val="single"/>
        </w:rPr>
        <w:t>028-85589763</w:t>
      </w:r>
    </w:p>
    <w:p>
      <w:pPr>
        <w:ind w:firstLine="480"/>
        <w:rPr>
          <w:rFonts w:ascii="宋体" w:hAnsi="宋体" w:cs="宋体"/>
          <w:szCs w:val="24"/>
        </w:rPr>
      </w:pPr>
      <w:r>
        <w:rPr>
          <w:rFonts w:hint="eastAsia" w:ascii="宋体" w:hAnsi="宋体" w:cs="宋体"/>
          <w:szCs w:val="24"/>
        </w:rPr>
        <w:t>传    真：</w:t>
      </w:r>
      <w:r>
        <w:rPr>
          <w:rFonts w:hint="eastAsia" w:ascii="宋体" w:hAnsi="宋体" w:cs="宋体"/>
          <w:szCs w:val="24"/>
          <w:u w:val="single"/>
        </w:rPr>
        <w:t>028-85589325</w:t>
      </w:r>
    </w:p>
    <w:p>
      <w:pPr>
        <w:ind w:firstLine="480"/>
        <w:rPr>
          <w:rFonts w:ascii="宋体" w:hAnsi="宋体" w:cs="宋体"/>
          <w:szCs w:val="24"/>
        </w:rPr>
      </w:pPr>
    </w:p>
    <w:p>
      <w:pPr>
        <w:ind w:firstLine="480"/>
        <w:rPr>
          <w:rFonts w:ascii="宋体" w:hAnsi="宋体" w:cs="宋体"/>
        </w:rPr>
      </w:pPr>
    </w:p>
    <w:p>
      <w:pPr>
        <w:ind w:firstLine="480"/>
      </w:pPr>
      <w:bookmarkStart w:id="34" w:name="_Toc32719"/>
      <w:bookmarkStart w:id="35" w:name="_Toc27275"/>
      <w:r>
        <w:br w:type="page"/>
      </w:r>
    </w:p>
    <w:p>
      <w:pPr>
        <w:pStyle w:val="4"/>
        <w:spacing w:line="360" w:lineRule="auto"/>
        <w:ind w:firstLine="883"/>
        <w:jc w:val="center"/>
      </w:pPr>
      <w:bookmarkStart w:id="36" w:name="_Toc1727"/>
      <w:bookmarkStart w:id="37" w:name="_Toc2516"/>
      <w:r>
        <w:t>第二章</w:t>
      </w:r>
      <w:r>
        <w:rPr>
          <w:rFonts w:hint="eastAsia"/>
        </w:rPr>
        <w:t xml:space="preserve"> </w:t>
      </w:r>
      <w:r>
        <w:t>投标人须知</w:t>
      </w:r>
      <w:bookmarkEnd w:id="36"/>
      <w:bookmarkEnd w:id="37"/>
    </w:p>
    <w:p>
      <w:pPr>
        <w:pStyle w:val="6"/>
      </w:pPr>
      <w:bookmarkStart w:id="38" w:name="_Toc31967"/>
      <w:r>
        <w:t>投标人须知前附表</w:t>
      </w:r>
      <w:bookmarkEnd w:id="38"/>
    </w:p>
    <w:tbl>
      <w:tblPr>
        <w:tblStyle w:val="29"/>
        <w:tblW w:w="8918" w:type="dxa"/>
        <w:tblInd w:w="0" w:type="dxa"/>
        <w:tblLayout w:type="fixed"/>
        <w:tblCellMar>
          <w:top w:w="0" w:type="dxa"/>
          <w:left w:w="108" w:type="dxa"/>
          <w:bottom w:w="0" w:type="dxa"/>
          <w:right w:w="108" w:type="dxa"/>
        </w:tblCellMar>
      </w:tblPr>
      <w:tblGrid>
        <w:gridCol w:w="1165"/>
        <w:gridCol w:w="3621"/>
        <w:gridCol w:w="4132"/>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b/>
              </w:rPr>
            </w:pPr>
            <w:r>
              <w:rPr>
                <w:rFonts w:ascii="Times New Roman" w:hAnsi="Times New Roman"/>
                <w:b/>
              </w:rPr>
              <w:t>条款号</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2"/>
              <w:jc w:val="center"/>
              <w:rPr>
                <w:rFonts w:ascii="Times New Roman" w:hAnsi="Times New Roman"/>
                <w:b/>
              </w:rPr>
            </w:pPr>
            <w:r>
              <w:rPr>
                <w:rFonts w:ascii="Times New Roman" w:hAnsi="Times New Roman"/>
                <w:b/>
              </w:rPr>
              <w:t>条款名称</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2"/>
              <w:jc w:val="center"/>
              <w:rPr>
                <w:rFonts w:ascii="Times New Roman" w:hAnsi="Times New Roman"/>
                <w:b/>
              </w:rPr>
            </w:pPr>
            <w:r>
              <w:rPr>
                <w:rFonts w:ascii="Times New Roman" w:hAnsi="Times New Roman"/>
                <w:b/>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1.1.2</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招标人</w:t>
            </w:r>
          </w:p>
        </w:tc>
        <w:tc>
          <w:tcPr>
            <w:tcW w:w="413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招标人：</w:t>
            </w:r>
            <w:r>
              <w:rPr>
                <w:rFonts w:hint="eastAsia" w:asciiTheme="minorEastAsia" w:hAnsiTheme="minorEastAsia" w:eastAsiaTheme="minorEastAsia" w:cstheme="minorEastAsia"/>
                <w:sz w:val="21"/>
                <w:szCs w:val="21"/>
                <w:u w:val="single"/>
              </w:rPr>
              <w:t>四川兴蜀公路建设发展有限责任公司</w:t>
            </w:r>
          </w:p>
          <w:p>
            <w:pPr>
              <w:ind w:firstLine="0" w:firstLineChars="0"/>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址：</w:t>
            </w:r>
            <w:r>
              <w:rPr>
                <w:rFonts w:hint="eastAsia" w:asciiTheme="minorEastAsia" w:hAnsiTheme="minorEastAsia" w:eastAsiaTheme="minorEastAsia" w:cstheme="minorEastAsia"/>
                <w:sz w:val="21"/>
                <w:szCs w:val="21"/>
                <w:u w:val="single"/>
              </w:rPr>
              <w:t>成都市洗面桥横街26号</w:t>
            </w:r>
          </w:p>
          <w:p>
            <w:pPr>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 系 人：</w:t>
            </w:r>
            <w:r>
              <w:rPr>
                <w:rFonts w:hint="eastAsia" w:asciiTheme="minorEastAsia" w:hAnsiTheme="minorEastAsia" w:eastAsiaTheme="minorEastAsia" w:cstheme="minorEastAsia"/>
                <w:sz w:val="21"/>
                <w:szCs w:val="21"/>
                <w:u w:val="single"/>
              </w:rPr>
              <w:t>何先生</w:t>
            </w:r>
          </w:p>
          <w:p>
            <w:pPr>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    话：</w:t>
            </w:r>
            <w:r>
              <w:rPr>
                <w:rFonts w:hint="eastAsia" w:asciiTheme="minorEastAsia" w:hAnsiTheme="minorEastAsia" w:eastAsiaTheme="minorEastAsia" w:cstheme="minorEastAsia"/>
                <w:sz w:val="21"/>
                <w:szCs w:val="21"/>
                <w:u w:val="single"/>
              </w:rPr>
              <w:t>028-85589763</w:t>
            </w:r>
          </w:p>
          <w:p>
            <w:pPr>
              <w:ind w:firstLine="0" w:firstLineChars="0"/>
              <w:rPr>
                <w:rFonts w:ascii="Times New Roman" w:hAnsi="Times New Roman"/>
                <w:sz w:val="21"/>
                <w:szCs w:val="21"/>
              </w:rPr>
            </w:pPr>
            <w:r>
              <w:rPr>
                <w:rFonts w:hint="eastAsia" w:asciiTheme="minorEastAsia" w:hAnsiTheme="minorEastAsia" w:eastAsiaTheme="minorEastAsia" w:cstheme="minorEastAsia"/>
                <w:sz w:val="21"/>
                <w:szCs w:val="21"/>
              </w:rPr>
              <w:t>传    真：</w:t>
            </w:r>
            <w:r>
              <w:rPr>
                <w:rFonts w:hint="eastAsia" w:asciiTheme="minorEastAsia" w:hAnsiTheme="minorEastAsia" w:eastAsiaTheme="minorEastAsia" w:cstheme="minorEastAsia"/>
                <w:sz w:val="21"/>
                <w:szCs w:val="21"/>
                <w:u w:val="single"/>
              </w:rPr>
              <w:t>028-85589325</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1.1.3</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招标代理机构</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asciiTheme="minorEastAsia" w:hAnsiTheme="minorEastAsia" w:eastAsiaTheme="minorEastAsia" w:cstheme="minorEastAsia"/>
                <w:sz w:val="21"/>
                <w:szCs w:val="21"/>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1.1.4</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招标项目名称</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asciiTheme="minorEastAsia" w:hAnsiTheme="minorEastAsia" w:eastAsiaTheme="minorEastAsia" w:cstheme="minorEastAsia"/>
                <w:b/>
                <w:bCs/>
                <w:szCs w:val="24"/>
                <w:u w:val="single"/>
              </w:rPr>
              <w:t>车辆采购</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1.2.1</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资金来源及比例</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asciiTheme="minorEastAsia" w:hAnsiTheme="minorEastAsia" w:eastAsiaTheme="minorEastAsia" w:cstheme="minorEastAsia"/>
                <w:szCs w:val="24"/>
                <w:u w:val="single"/>
              </w:rPr>
              <w:t>公司自有资金</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1.2.2</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资金落实情况</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asciiTheme="minorEastAsia" w:hAnsiTheme="minorEastAsia" w:eastAsiaTheme="minorEastAsia" w:cstheme="minorEastAsia"/>
                <w:sz w:val="21"/>
                <w:szCs w:val="21"/>
              </w:rPr>
              <w:t>已落实</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1.3.1</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招标范围</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ascii="Times New Roman" w:hAnsi="Times New Roman"/>
                <w:sz w:val="21"/>
                <w:szCs w:val="21"/>
              </w:rPr>
              <w:t>详见数量表</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1.3.2</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交货期</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u w:val="single"/>
              </w:rPr>
            </w:pPr>
            <w:r>
              <w:rPr>
                <w:rFonts w:ascii="Times New Roman" w:hAnsi="Times New Roman"/>
                <w:sz w:val="21"/>
                <w:szCs w:val="21"/>
              </w:rPr>
              <w:t>交货期：</w:t>
            </w:r>
            <w:r>
              <w:rPr>
                <w:rFonts w:hint="eastAsia" w:ascii="Times New Roman" w:hAnsi="Times New Roman"/>
                <w:sz w:val="21"/>
                <w:szCs w:val="21"/>
              </w:rPr>
              <w:t xml:space="preserve">  120</w:t>
            </w:r>
            <w:r>
              <w:rPr>
                <w:rFonts w:hint="eastAsia" w:ascii="Times New Roman" w:hAnsi="Times New Roman"/>
                <w:sz w:val="21"/>
                <w:szCs w:val="21"/>
                <w:u w:val="single"/>
              </w:rPr>
              <w:t>日历天</w:t>
            </w:r>
            <w:r>
              <w:rPr>
                <w:rFonts w:ascii="Times New Roman" w:hAnsi="Times New Roman"/>
                <w:sz w:val="21"/>
                <w:szCs w:val="21"/>
                <w:u w:val="single"/>
              </w:rPr>
              <w:t xml:space="preserve">  </w:t>
            </w:r>
          </w:p>
          <w:p>
            <w:pPr>
              <w:spacing w:line="440" w:lineRule="exact"/>
              <w:ind w:firstLine="0" w:firstLineChars="0"/>
              <w:rPr>
                <w:rFonts w:ascii="Times New Roman" w:hAnsi="Times New Roman"/>
                <w:sz w:val="21"/>
                <w:szCs w:val="21"/>
                <w:u w:val="single"/>
              </w:rPr>
            </w:pPr>
            <w:r>
              <w:rPr>
                <w:rFonts w:ascii="Times New Roman" w:hAnsi="Times New Roman"/>
                <w:sz w:val="21"/>
                <w:szCs w:val="21"/>
              </w:rPr>
              <w:t>计划开始交货日期</w:t>
            </w:r>
            <w:r>
              <w:rPr>
                <w:rFonts w:hint="eastAsia" w:ascii="Times New Roman" w:hAnsi="Times New Roman"/>
                <w:sz w:val="21"/>
                <w:szCs w:val="21"/>
              </w:rPr>
              <w:t xml:space="preserve"> </w:t>
            </w:r>
            <w:r>
              <w:rPr>
                <w:rFonts w:ascii="Times New Roman" w:hAnsi="Times New Roman"/>
                <w:sz w:val="21"/>
                <w:szCs w:val="21"/>
              </w:rPr>
              <w:t>：</w:t>
            </w:r>
            <w:r>
              <w:rPr>
                <w:rFonts w:hint="eastAsia" w:ascii="Times New Roman" w:hAnsi="Times New Roman"/>
                <w:sz w:val="21"/>
                <w:szCs w:val="21"/>
              </w:rPr>
              <w:t xml:space="preserve">  </w:t>
            </w:r>
            <w:r>
              <w:rPr>
                <w:rFonts w:ascii="Times New Roman" w:hAnsi="Times New Roman"/>
                <w:sz w:val="21"/>
                <w:szCs w:val="21"/>
                <w:u w:val="single"/>
              </w:rPr>
              <w:t>年</w:t>
            </w:r>
            <w:r>
              <w:rPr>
                <w:rFonts w:hint="eastAsia" w:ascii="Times New Roman" w:hAnsi="Times New Roman"/>
                <w:sz w:val="21"/>
                <w:szCs w:val="21"/>
                <w:u w:val="single"/>
              </w:rPr>
              <w:t xml:space="preserve">  </w:t>
            </w:r>
            <w:r>
              <w:rPr>
                <w:rFonts w:ascii="Times New Roman" w:hAnsi="Times New Roman"/>
                <w:sz w:val="21"/>
                <w:szCs w:val="21"/>
                <w:u w:val="single"/>
              </w:rPr>
              <w:t>月</w:t>
            </w:r>
            <w:r>
              <w:rPr>
                <w:rFonts w:hint="eastAsia" w:ascii="Times New Roman" w:hAnsi="Times New Roman"/>
                <w:sz w:val="21"/>
                <w:szCs w:val="21"/>
                <w:u w:val="single"/>
              </w:rPr>
              <w:t xml:space="preserve">  </w:t>
            </w:r>
            <w:r>
              <w:rPr>
                <w:rFonts w:ascii="Times New Roman" w:hAnsi="Times New Roman"/>
                <w:sz w:val="21"/>
                <w:szCs w:val="21"/>
                <w:u w:val="single"/>
              </w:rPr>
              <w:t>日</w:t>
            </w:r>
          </w:p>
          <w:p>
            <w:pPr>
              <w:spacing w:line="440" w:lineRule="exact"/>
              <w:ind w:firstLine="0" w:firstLineChars="0"/>
              <w:rPr>
                <w:rFonts w:ascii="Times New Roman" w:hAnsi="Times New Roman"/>
                <w:sz w:val="21"/>
                <w:szCs w:val="21"/>
              </w:rPr>
            </w:pPr>
            <w:r>
              <w:rPr>
                <w:rFonts w:hint="eastAsia" w:ascii="Times New Roman" w:hAnsi="Times New Roman"/>
                <w:sz w:val="21"/>
                <w:szCs w:val="21"/>
                <w:u w:val="single"/>
              </w:rPr>
              <w:t>备注：承包人拟提交的交货期超过交货期的将被否决投标。</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1.3.3</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交货地点</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ascii="Times New Roman" w:hAnsi="Times New Roman"/>
                <w:sz w:val="21"/>
                <w:szCs w:val="21"/>
              </w:rPr>
              <w:t>成都市武侯区洗面桥横街26号公路局</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sz w:val="21"/>
                <w:szCs w:val="21"/>
              </w:rPr>
            </w:pPr>
            <w:r>
              <w:rPr>
                <w:rFonts w:ascii="Times New Roman" w:hAnsi="Times New Roman"/>
                <w:sz w:val="21"/>
                <w:szCs w:val="21"/>
              </w:rPr>
              <w:t>1.3.4</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ascii="Times New Roman" w:hAnsi="Times New Roman"/>
                <w:sz w:val="21"/>
                <w:szCs w:val="21"/>
              </w:rPr>
              <w:t>质量标准</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ascii="Times New Roman" w:hAnsi="Times New Roman"/>
                <w:sz w:val="21"/>
                <w:szCs w:val="21"/>
              </w:rPr>
              <w:t xml:space="preserve">详见招标文件技术规范； </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1.4.1</w:t>
            </w:r>
          </w:p>
        </w:tc>
        <w:tc>
          <w:tcPr>
            <w:tcW w:w="362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sz w:val="21"/>
                <w:szCs w:val="21"/>
              </w:rPr>
            </w:pPr>
            <w:r>
              <w:rPr>
                <w:rFonts w:ascii="Times New Roman" w:hAnsi="Times New Roman"/>
                <w:sz w:val="21"/>
                <w:szCs w:val="21"/>
              </w:rPr>
              <w:t>投标人资质条件、能力、信誉</w:t>
            </w:r>
          </w:p>
        </w:tc>
        <w:tc>
          <w:tcPr>
            <w:tcW w:w="4132" w:type="dxa"/>
            <w:tcBorders>
              <w:top w:val="single" w:color="auto" w:sz="4" w:space="0"/>
              <w:left w:val="single" w:color="auto" w:sz="4" w:space="0"/>
              <w:bottom w:val="single" w:color="auto" w:sz="4" w:space="0"/>
              <w:right w:val="single" w:color="auto" w:sz="4" w:space="0"/>
            </w:tcBorders>
            <w:vAlign w:val="center"/>
          </w:tcPr>
          <w:p>
            <w:pPr>
              <w:numPr>
                <w:ilvl w:val="255"/>
                <w:numId w:val="0"/>
              </w:numPr>
              <w:spacing w:line="440" w:lineRule="exact"/>
              <w:rPr>
                <w:rFonts w:ascii="Times New Roman" w:hAnsi="Times New Roman"/>
                <w:sz w:val="21"/>
                <w:szCs w:val="21"/>
              </w:rPr>
            </w:pPr>
            <w:r>
              <w:rPr>
                <w:rFonts w:hint="eastAsia" w:ascii="Times New Roman" w:hAnsi="Times New Roman"/>
                <w:sz w:val="21"/>
                <w:szCs w:val="21"/>
              </w:rPr>
              <w:t>1、资格要求</w:t>
            </w:r>
          </w:p>
          <w:p>
            <w:pPr>
              <w:numPr>
                <w:ilvl w:val="255"/>
                <w:numId w:val="0"/>
              </w:numPr>
              <w:spacing w:line="440" w:lineRule="exact"/>
              <w:rPr>
                <w:rFonts w:ascii="Times New Roman" w:hAnsi="Times New Roman"/>
                <w:sz w:val="21"/>
                <w:szCs w:val="21"/>
              </w:rPr>
            </w:pPr>
            <w:r>
              <w:rPr>
                <w:rFonts w:hint="eastAsia" w:ascii="Times New Roman" w:hAnsi="Times New Roman"/>
                <w:sz w:val="21"/>
                <w:szCs w:val="21"/>
              </w:rPr>
              <w:t>（1）具有独立法人资格，持有营业执照的制造商或代理商或经销商；</w:t>
            </w:r>
          </w:p>
          <w:p>
            <w:pPr>
              <w:numPr>
                <w:ilvl w:val="255"/>
                <w:numId w:val="0"/>
              </w:numPr>
              <w:spacing w:line="440" w:lineRule="exact"/>
              <w:rPr>
                <w:rFonts w:ascii="Times New Roman" w:hAnsi="Times New Roman"/>
                <w:sz w:val="21"/>
                <w:szCs w:val="21"/>
              </w:rPr>
            </w:pPr>
            <w:r>
              <w:rPr>
                <w:rFonts w:hint="eastAsia" w:ascii="Times New Roman" w:hAnsi="Times New Roman"/>
                <w:sz w:val="21"/>
                <w:szCs w:val="21"/>
              </w:rPr>
              <w:t>（2）代理商或经销商具有本招标项目相应的供货能力。</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1.4.2</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是否接受联合体投标</w:t>
            </w:r>
          </w:p>
        </w:tc>
        <w:tc>
          <w:tcPr>
            <w:tcW w:w="41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sz w:val="21"/>
                <w:szCs w:val="21"/>
              </w:rPr>
            </w:pPr>
            <w:r>
              <w:rPr>
                <w:rFonts w:ascii="Times New Roman" w:hAnsi="Times New Roman"/>
                <w:sz w:val="21"/>
                <w:szCs w:val="21"/>
              </w:rPr>
              <w:t>不接受</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1.4.3</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Times New Roman" w:hAnsi="Times New Roman"/>
                <w:sz w:val="21"/>
                <w:szCs w:val="21"/>
              </w:rPr>
            </w:pPr>
            <w:r>
              <w:rPr>
                <w:rFonts w:ascii="Times New Roman" w:hAnsi="Times New Roman"/>
                <w:sz w:val="21"/>
                <w:szCs w:val="21"/>
              </w:rPr>
              <w:t>投标人不得存在的</w:t>
            </w:r>
            <w:r>
              <w:rPr>
                <w:rFonts w:hint="eastAsia" w:ascii="Times New Roman" w:hAnsi="Times New Roman"/>
                <w:sz w:val="21"/>
                <w:szCs w:val="21"/>
              </w:rPr>
              <w:t>其他</w:t>
            </w:r>
            <w:r>
              <w:rPr>
                <w:rFonts w:ascii="Times New Roman" w:hAnsi="Times New Roman"/>
                <w:sz w:val="21"/>
                <w:szCs w:val="21"/>
              </w:rPr>
              <w:t>情形</w:t>
            </w:r>
          </w:p>
        </w:tc>
        <w:tc>
          <w:tcPr>
            <w:tcW w:w="41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sz w:val="21"/>
                <w:szCs w:val="21"/>
              </w:rPr>
            </w:pPr>
            <w:r>
              <w:rPr>
                <w:rFonts w:hint="eastAsia" w:ascii="Times New Roman" w:hAnsi="Times New Roman"/>
                <w:sz w:val="21"/>
                <w:szCs w:val="21"/>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1.9.1</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投标预备会</w:t>
            </w:r>
          </w:p>
        </w:tc>
        <w:tc>
          <w:tcPr>
            <w:tcW w:w="4132" w:type="dxa"/>
            <w:tcBorders>
              <w:top w:val="single" w:color="auto" w:sz="4" w:space="0"/>
              <w:left w:val="single" w:color="auto" w:sz="4" w:space="0"/>
              <w:bottom w:val="single" w:color="auto" w:sz="4" w:space="0"/>
              <w:right w:val="single" w:color="auto" w:sz="4" w:space="0"/>
            </w:tcBorders>
            <w:vAlign w:val="center"/>
          </w:tcPr>
          <w:p>
            <w:pPr>
              <w:pStyle w:val="12"/>
              <w:topLinePunct/>
              <w:spacing w:line="400" w:lineRule="exact"/>
              <w:rPr>
                <w:rFonts w:ascii="Times New Roman" w:hAnsi="Times New Roman"/>
                <w:sz w:val="21"/>
                <w:szCs w:val="21"/>
              </w:rPr>
            </w:pPr>
            <w:r>
              <w:rPr>
                <w:rFonts w:ascii="Times New Roman" w:hAnsi="Times New Roman"/>
                <w:sz w:val="21"/>
                <w:szCs w:val="21"/>
              </w:rPr>
              <w:t>不召开</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9</w:t>
            </w:r>
            <w:r>
              <w:rPr>
                <w:rFonts w:ascii="Times New Roman" w:hAnsi="Times New Roman"/>
                <w:sz w:val="21"/>
                <w:szCs w:val="21"/>
              </w:rPr>
              <w:t>.3</w:t>
            </w:r>
          </w:p>
        </w:tc>
        <w:tc>
          <w:tcPr>
            <w:tcW w:w="3621" w:type="dxa"/>
            <w:tcBorders>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招标文件澄清发出的形式</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asciiTheme="minorEastAsia" w:hAnsiTheme="minorEastAsia" w:eastAsiaTheme="minorEastAsia" w:cstheme="minorEastAsia"/>
                <w:sz w:val="21"/>
                <w:szCs w:val="21"/>
              </w:rPr>
              <w:t>澄清函在招标人网站匿名下载，投标人因任何原因未上网查阅、下载澄清文件造成的一切后果自行负责。</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1.11.1</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实质性要求和条件</w:t>
            </w:r>
          </w:p>
        </w:tc>
        <w:tc>
          <w:tcPr>
            <w:tcW w:w="4132" w:type="dxa"/>
            <w:tcBorders>
              <w:top w:val="single" w:color="auto" w:sz="4" w:space="0"/>
              <w:left w:val="single" w:color="auto" w:sz="4" w:space="0"/>
              <w:bottom w:val="single" w:color="auto" w:sz="4" w:space="0"/>
              <w:right w:val="single" w:color="auto" w:sz="4" w:space="0"/>
            </w:tcBorders>
            <w:vAlign w:val="center"/>
          </w:tcPr>
          <w:p>
            <w:pPr>
              <w:pStyle w:val="12"/>
              <w:topLinePunct/>
              <w:spacing w:line="400" w:lineRule="exact"/>
              <w:ind w:firstLine="0" w:firstLineChars="0"/>
              <w:rPr>
                <w:rFonts w:hAnsi="宋体" w:cs="宋体"/>
                <w:sz w:val="21"/>
                <w:szCs w:val="21"/>
              </w:rPr>
            </w:pPr>
            <w:r>
              <w:rPr>
                <w:rFonts w:hint="eastAsia" w:hAnsi="宋体" w:cs="宋体"/>
                <w:sz w:val="21"/>
                <w:szCs w:val="21"/>
              </w:rPr>
              <w:t>（1）每个投标人只能提交一份投标文件和一个投标报价，否则其投标将被否决。</w:t>
            </w:r>
          </w:p>
          <w:p>
            <w:pPr>
              <w:pStyle w:val="12"/>
              <w:topLinePunct/>
              <w:spacing w:line="400" w:lineRule="exact"/>
              <w:ind w:firstLine="0" w:firstLineChars="0"/>
              <w:rPr>
                <w:rFonts w:ascii="Times New Roman" w:hAnsi="Times New Roman"/>
                <w:sz w:val="21"/>
                <w:szCs w:val="21"/>
              </w:rPr>
            </w:pPr>
            <w:r>
              <w:rPr>
                <w:rFonts w:hint="eastAsia" w:hAnsi="宋体" w:cs="宋体"/>
                <w:sz w:val="21"/>
                <w:szCs w:val="21"/>
              </w:rPr>
              <w:t xml:space="preserve">（2）投标人在投标文件中，必须响应招标文件中提出的全部问题。如有必要，可以增加附页，作为投标文件不可分割的一部分，并按资格审查资料后附证明文件清单的内容提供证明材料，供招标人审查。 </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1.11.4</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偏差</w:t>
            </w:r>
          </w:p>
        </w:tc>
        <w:tc>
          <w:tcPr>
            <w:tcW w:w="4132" w:type="dxa"/>
            <w:tcBorders>
              <w:top w:val="single" w:color="auto" w:sz="4" w:space="0"/>
              <w:left w:val="single" w:color="auto" w:sz="4" w:space="0"/>
              <w:bottom w:val="single" w:color="auto" w:sz="4" w:space="0"/>
              <w:right w:val="single" w:color="auto" w:sz="4" w:space="0"/>
            </w:tcBorders>
          </w:tcPr>
          <w:p>
            <w:pPr>
              <w:pStyle w:val="12"/>
              <w:topLinePunct/>
              <w:spacing w:line="400" w:lineRule="exact"/>
              <w:ind w:firstLine="0" w:firstLineChars="0"/>
              <w:rPr>
                <w:rFonts w:ascii="Times New Roman" w:hAnsi="Times New Roman"/>
                <w:sz w:val="21"/>
                <w:szCs w:val="21"/>
                <w:lang w:bidi="zh-CN"/>
              </w:rPr>
            </w:pPr>
            <w:r>
              <w:rPr>
                <w:rFonts w:hint="eastAsia" w:ascii="Times New Roman" w:hAnsi="Times New Roman"/>
                <w:sz w:val="21"/>
                <w:szCs w:val="21"/>
                <w:lang w:bidi="zh-CN"/>
              </w:rPr>
              <w:t>允许细微偏差。细微偏差是指投标文件在实质上响应招标文件要求，但在个别地方存在漏项或招标文件个别错别字，并且修正这些漏项不会对其他投标人造成不公平的结果。细微偏差不影响投标文件的有效性，不得以细微偏差作为否决投标的条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2.1</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构成招标文件的其他资料</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u w:val="single"/>
              </w:rPr>
            </w:pPr>
            <w:r>
              <w:rPr>
                <w:rFonts w:hint="eastAsia"/>
                <w:sz w:val="21"/>
                <w:szCs w:val="21"/>
                <w:u w:val="single"/>
              </w:rPr>
              <w:t>澄清、</w:t>
            </w:r>
            <w:r>
              <w:rPr>
                <w:sz w:val="21"/>
                <w:szCs w:val="21"/>
                <w:u w:val="single"/>
              </w:rPr>
              <w:t>补遗书（若有）</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2.2.1</w:t>
            </w:r>
          </w:p>
        </w:tc>
        <w:tc>
          <w:tcPr>
            <w:tcW w:w="3621" w:type="dxa"/>
            <w:vMerge w:val="restart"/>
            <w:tcBorders>
              <w:top w:val="single" w:color="auto" w:sz="4" w:space="0"/>
              <w:left w:val="single" w:color="auto" w:sz="4" w:space="0"/>
              <w:right w:val="single" w:color="auto" w:sz="4" w:space="0"/>
            </w:tcBorders>
            <w:vAlign w:val="center"/>
          </w:tcPr>
          <w:p>
            <w:pPr>
              <w:ind w:firstLine="0" w:firstLineChars="0"/>
              <w:rPr>
                <w:rFonts w:ascii="Times New Roman" w:hAnsi="Times New Roman"/>
                <w:sz w:val="21"/>
                <w:szCs w:val="21"/>
              </w:rPr>
            </w:pPr>
            <w:r>
              <w:rPr>
                <w:rFonts w:ascii="Times New Roman" w:hAnsi="Times New Roman"/>
                <w:sz w:val="21"/>
                <w:szCs w:val="21"/>
              </w:rPr>
              <w:t>投标人要求澄清招标文件</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时间：</w:t>
            </w:r>
            <w:r>
              <w:rPr>
                <w:sz w:val="21"/>
                <w:szCs w:val="21"/>
                <w:u w:val="single"/>
              </w:rPr>
              <w:t>投标截止前16天</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40" w:lineRule="exact"/>
              <w:rPr>
                <w:rFonts w:ascii="Times New Roman" w:hAnsi="Times New Roman"/>
                <w:sz w:val="21"/>
                <w:szCs w:val="21"/>
              </w:rPr>
            </w:pPr>
          </w:p>
        </w:tc>
        <w:tc>
          <w:tcPr>
            <w:tcW w:w="3621"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1"/>
                <w:szCs w:val="21"/>
              </w:rPr>
            </w:pP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ascii="Times New Roman" w:hAnsi="Times New Roman"/>
                <w:sz w:val="21"/>
                <w:szCs w:val="21"/>
                <w:lang w:bidi="zh-CN"/>
              </w:rPr>
              <w:t>署名方式提出。</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2.2.2</w:t>
            </w:r>
          </w:p>
        </w:tc>
        <w:tc>
          <w:tcPr>
            <w:tcW w:w="3621" w:type="dxa"/>
            <w:tcBorders>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招标文件澄清发出的形式</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sz w:val="21"/>
                <w:szCs w:val="21"/>
              </w:rPr>
              <w:t>/</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2.2.3</w:t>
            </w:r>
          </w:p>
        </w:tc>
        <w:tc>
          <w:tcPr>
            <w:tcW w:w="3621" w:type="dxa"/>
            <w:tcBorders>
              <w:left w:val="single" w:color="auto" w:sz="4" w:space="0"/>
              <w:bottom w:val="single" w:color="auto" w:sz="4" w:space="0"/>
              <w:right w:val="single" w:color="auto" w:sz="4" w:space="0"/>
            </w:tcBorders>
            <w:vAlign w:val="center"/>
          </w:tcPr>
          <w:p>
            <w:pPr>
              <w:ind w:firstLine="0" w:firstLineChars="0"/>
              <w:rPr>
                <w:rFonts w:ascii="Times New Roman" w:hAnsi="Times New Roman"/>
                <w:sz w:val="21"/>
                <w:szCs w:val="21"/>
              </w:rPr>
            </w:pPr>
            <w:r>
              <w:rPr>
                <w:rFonts w:ascii="Times New Roman" w:hAnsi="Times New Roman"/>
                <w:sz w:val="21"/>
                <w:szCs w:val="21"/>
              </w:rPr>
              <w:t>投标人确认收到招标文件澄清</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sz w:val="21"/>
                <w:szCs w:val="21"/>
              </w:rPr>
              <w:t>无须回复确认</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2.3.1</w:t>
            </w:r>
          </w:p>
        </w:tc>
        <w:tc>
          <w:tcPr>
            <w:tcW w:w="3621" w:type="dxa"/>
            <w:tcBorders>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招标文件修改发出的形式</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sz w:val="21"/>
                <w:szCs w:val="21"/>
              </w:rPr>
              <w:t>通过招标人网站</w:t>
            </w:r>
            <w:r>
              <w:rPr>
                <w:rFonts w:hint="eastAsia" w:ascii="宋体" w:hAnsi="宋体" w:cs="宋体"/>
                <w:szCs w:val="24"/>
              </w:rPr>
              <w:t>(</w:t>
            </w:r>
            <w:r>
              <w:fldChar w:fldCharType="begin"/>
            </w:r>
            <w:r>
              <w:instrText xml:space="preserve"> HYPERLINK "http://www.scxsgs.com" </w:instrText>
            </w:r>
            <w:r>
              <w:fldChar w:fldCharType="separate"/>
            </w:r>
            <w:r>
              <w:rPr>
                <w:rStyle w:val="34"/>
                <w:rFonts w:hint="eastAsia" w:ascii="Times New Roman" w:hAnsi="Times New Roman"/>
                <w:szCs w:val="24"/>
              </w:rPr>
              <w:t>http://www.scxsgs.com</w:t>
            </w:r>
            <w:r>
              <w:rPr>
                <w:rStyle w:val="34"/>
                <w:rFonts w:hint="eastAsia" w:ascii="Times New Roman" w:hAnsi="Times New Roman"/>
                <w:szCs w:val="24"/>
              </w:rPr>
              <w:fldChar w:fldCharType="end"/>
            </w:r>
            <w:r>
              <w:rPr>
                <w:rFonts w:hint="eastAsia" w:ascii="Times New Roman" w:hAnsi="Times New Roman"/>
                <w:szCs w:val="24"/>
                <w:u w:val="single"/>
              </w:rPr>
              <w:t>）</w:t>
            </w:r>
            <w:r>
              <w:rPr>
                <w:rFonts w:hint="eastAsia"/>
                <w:sz w:val="21"/>
                <w:szCs w:val="21"/>
              </w:rPr>
              <w:t>发出</w:t>
            </w:r>
          </w:p>
        </w:tc>
      </w:tr>
      <w:tr>
        <w:tblPrEx>
          <w:tblCellMar>
            <w:top w:w="0" w:type="dxa"/>
            <w:left w:w="108" w:type="dxa"/>
            <w:bottom w:w="0" w:type="dxa"/>
            <w:right w:w="108" w:type="dxa"/>
          </w:tblCellMar>
        </w:tblPrEx>
        <w:trPr>
          <w:trHeight w:val="890" w:hRule="atLeast"/>
        </w:trPr>
        <w:tc>
          <w:tcPr>
            <w:tcW w:w="1165" w:type="dxa"/>
            <w:tcBorders>
              <w:top w:val="single" w:color="auto" w:sz="4" w:space="0"/>
              <w:left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2.3.2</w:t>
            </w:r>
          </w:p>
        </w:tc>
        <w:tc>
          <w:tcPr>
            <w:tcW w:w="3621" w:type="dxa"/>
            <w:tcBorders>
              <w:top w:val="single" w:color="auto" w:sz="4" w:space="0"/>
              <w:left w:val="single" w:color="auto" w:sz="4" w:space="0"/>
              <w:right w:val="single" w:color="auto" w:sz="4" w:space="0"/>
            </w:tcBorders>
            <w:vAlign w:val="center"/>
          </w:tcPr>
          <w:p>
            <w:pPr>
              <w:ind w:firstLine="0" w:firstLineChars="0"/>
              <w:rPr>
                <w:rFonts w:ascii="Times New Roman" w:hAnsi="Times New Roman"/>
                <w:sz w:val="21"/>
                <w:szCs w:val="21"/>
              </w:rPr>
            </w:pPr>
            <w:r>
              <w:rPr>
                <w:rFonts w:ascii="Times New Roman" w:hAnsi="Times New Roman"/>
                <w:sz w:val="21"/>
                <w:szCs w:val="21"/>
              </w:rPr>
              <w:t>投标人确认收到招标文件修改</w:t>
            </w:r>
          </w:p>
        </w:tc>
        <w:tc>
          <w:tcPr>
            <w:tcW w:w="4132" w:type="dxa"/>
            <w:tcBorders>
              <w:top w:val="single" w:color="auto" w:sz="4" w:space="0"/>
              <w:left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sz w:val="21"/>
                <w:szCs w:val="21"/>
              </w:rPr>
              <w:t>无须回复确认</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3.1.1</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构成投标文件的其他资料</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sz w:val="21"/>
                <w:szCs w:val="21"/>
                <w:u w:val="single"/>
              </w:rPr>
              <w:t>澄清、</w:t>
            </w:r>
            <w:r>
              <w:rPr>
                <w:sz w:val="21"/>
                <w:szCs w:val="21"/>
                <w:u w:val="single"/>
              </w:rPr>
              <w:t>补遗书（若有）</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3.2.1</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增值税税金的计算方法</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1"/>
                <w:szCs w:val="21"/>
              </w:rPr>
            </w:pPr>
            <w:r>
              <w:rPr>
                <w:rFonts w:hint="eastAsia" w:ascii="Times New Roman" w:hAnsi="Times New Roman"/>
                <w:sz w:val="21"/>
                <w:szCs w:val="21"/>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3.2.</w:t>
            </w:r>
            <w:r>
              <w:rPr>
                <w:rFonts w:hint="eastAsia" w:ascii="Times New Roman" w:hAnsi="Times New Roman"/>
                <w:sz w:val="21"/>
                <w:szCs w:val="21"/>
              </w:rPr>
              <w:t>4</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最高投标限价</w:t>
            </w:r>
          </w:p>
        </w:tc>
        <w:tc>
          <w:tcPr>
            <w:tcW w:w="4132" w:type="dxa"/>
            <w:tcBorders>
              <w:top w:val="single" w:color="auto" w:sz="4" w:space="0"/>
              <w:left w:val="single" w:color="auto" w:sz="4" w:space="0"/>
              <w:bottom w:val="single" w:color="auto" w:sz="4" w:space="0"/>
              <w:right w:val="single" w:color="auto" w:sz="4" w:space="0"/>
            </w:tcBorders>
            <w:vAlign w:val="center"/>
          </w:tcPr>
          <w:p>
            <w:pPr>
              <w:pStyle w:val="46"/>
              <w:tabs>
                <w:tab w:val="left" w:pos="2341"/>
                <w:tab w:val="left" w:pos="4593"/>
              </w:tabs>
              <w:autoSpaceDE/>
              <w:autoSpaceDN/>
              <w:adjustRightInd w:val="0"/>
              <w:snapToGrid w:val="0"/>
              <w:ind w:firstLine="0" w:firstLineChars="0"/>
              <w:jc w:val="both"/>
              <w:rPr>
                <w:sz w:val="21"/>
                <w:szCs w:val="21"/>
              </w:rPr>
            </w:pPr>
            <w:r>
              <w:rPr>
                <w:sz w:val="21"/>
                <w:szCs w:val="21"/>
              </w:rPr>
              <w:t>☑</w:t>
            </w:r>
            <w:r>
              <w:rPr>
                <w:sz w:val="21"/>
                <w:szCs w:val="21"/>
              </w:rPr>
              <w:fldChar w:fldCharType="begin"/>
            </w:r>
            <w:r>
              <w:rPr>
                <w:sz w:val="21"/>
                <w:szCs w:val="21"/>
              </w:rPr>
              <w:instrText xml:space="preserve"> AUTOTEXT  input196 \* MERGEFORMAT </w:instrText>
            </w:r>
            <w:r>
              <w:rPr>
                <w:sz w:val="21"/>
                <w:szCs w:val="21"/>
              </w:rPr>
              <w:fldChar w:fldCharType="end"/>
            </w:r>
            <w:r>
              <w:rPr>
                <w:sz w:val="21"/>
                <w:szCs w:val="21"/>
              </w:rPr>
              <w:t>有，最高投标限价</w:t>
            </w:r>
            <w:r>
              <w:rPr>
                <w:rFonts w:hint="eastAsia"/>
                <w:sz w:val="21"/>
                <w:szCs w:val="21"/>
                <w:u w:val="single"/>
              </w:rPr>
              <w:t xml:space="preserve"> </w:t>
            </w:r>
            <w:r>
              <w:rPr>
                <w:rFonts w:hint="eastAsia"/>
                <w:sz w:val="21"/>
                <w:szCs w:val="21"/>
                <w:u w:val="single"/>
                <w:lang w:val="en-US" w:eastAsia="zh-CN"/>
              </w:rPr>
              <w:t>300</w:t>
            </w:r>
            <w:r>
              <w:rPr>
                <w:rFonts w:hint="eastAsia"/>
                <w:sz w:val="21"/>
                <w:szCs w:val="21"/>
                <w:u w:val="single"/>
              </w:rPr>
              <w:t>万</w:t>
            </w:r>
            <w:r>
              <w:rPr>
                <w:sz w:val="21"/>
                <w:szCs w:val="21"/>
                <w:u w:val="single"/>
              </w:rPr>
              <w:fldChar w:fldCharType="begin"/>
            </w:r>
            <w:r>
              <w:rPr>
                <w:sz w:val="21"/>
                <w:szCs w:val="21"/>
                <w:u w:val="single"/>
              </w:rPr>
              <w:instrText xml:space="preserve"> AUTOTEXT  input197 \* MERGEFORMAT </w:instrText>
            </w:r>
            <w:r>
              <w:rPr>
                <w:sz w:val="21"/>
                <w:szCs w:val="21"/>
                <w:u w:val="single"/>
              </w:rPr>
              <w:fldChar w:fldCharType="end"/>
            </w:r>
            <w:r>
              <w:rPr>
                <w:sz w:val="21"/>
                <w:szCs w:val="21"/>
              </w:rPr>
              <w:t>元</w:t>
            </w:r>
            <w:r>
              <w:rPr>
                <w:rFonts w:hint="eastAsia"/>
                <w:sz w:val="21"/>
                <w:szCs w:val="21"/>
                <w:lang w:eastAsia="zh-CN"/>
              </w:rPr>
              <w:t>，</w:t>
            </w:r>
            <w:r>
              <w:rPr>
                <w:rFonts w:hint="eastAsia"/>
                <w:sz w:val="21"/>
                <w:szCs w:val="21"/>
                <w:lang w:val="en-US" w:eastAsia="zh-CN"/>
              </w:rPr>
              <w:t>单辆车辆最高限价</w:t>
            </w:r>
            <w:r>
              <w:rPr>
                <w:rFonts w:hint="eastAsia"/>
                <w:sz w:val="21"/>
                <w:szCs w:val="21"/>
                <w:u w:val="single"/>
                <w:lang w:val="en-US" w:eastAsia="zh-CN"/>
              </w:rPr>
              <w:t>75</w:t>
            </w:r>
            <w:r>
              <w:rPr>
                <w:rFonts w:hint="eastAsia"/>
                <w:sz w:val="21"/>
                <w:szCs w:val="21"/>
                <w:lang w:val="en-US" w:eastAsia="zh-CN"/>
              </w:rPr>
              <w:t>万元</w:t>
            </w:r>
            <w:r>
              <w:rPr>
                <w:rFonts w:hint="eastAsia"/>
                <w:sz w:val="21"/>
                <w:szCs w:val="21"/>
              </w:rPr>
              <w:t>。</w:t>
            </w:r>
          </w:p>
          <w:p>
            <w:pPr>
              <w:pStyle w:val="46"/>
              <w:tabs>
                <w:tab w:val="left" w:pos="2341"/>
                <w:tab w:val="left" w:pos="4593"/>
              </w:tabs>
              <w:autoSpaceDE/>
              <w:autoSpaceDN/>
              <w:adjustRightInd w:val="0"/>
              <w:snapToGrid w:val="0"/>
              <w:ind w:firstLine="0" w:firstLineChars="0"/>
              <w:jc w:val="both"/>
              <w:rPr>
                <w:rFonts w:ascii="Times New Roman" w:hAnsi="Times New Roman"/>
                <w:sz w:val="21"/>
                <w:szCs w:val="21"/>
                <w:lang w:val="en-US"/>
              </w:rPr>
            </w:pPr>
            <w:r>
              <w:rPr>
                <w:rFonts w:hint="eastAsia"/>
                <w:sz w:val="21"/>
                <w:szCs w:val="21"/>
                <w:lang w:val="en-US"/>
              </w:rPr>
              <w:t>投标人的投标报价高于最高限价的将被否决投标。</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3.2.</w:t>
            </w:r>
            <w:r>
              <w:rPr>
                <w:rFonts w:hint="eastAsia" w:ascii="Times New Roman" w:hAnsi="Times New Roman"/>
                <w:sz w:val="21"/>
                <w:szCs w:val="21"/>
              </w:rPr>
              <w:t>5</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投标报价的其他要求</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1"/>
                <w:szCs w:val="21"/>
              </w:rPr>
            </w:pPr>
            <w:r>
              <w:rPr>
                <w:rFonts w:hint="eastAsia" w:ascii="Times New Roman" w:hAnsi="Times New Roman"/>
                <w:sz w:val="21"/>
                <w:szCs w:val="21"/>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3.3.1</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投标有效期</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bookmarkStart w:id="39" w:name="_Toc1789"/>
            <w:bookmarkStart w:id="40" w:name="_Toc369531512"/>
            <w:bookmarkStart w:id="41" w:name="_Toc300834946"/>
            <w:bookmarkStart w:id="42" w:name="_Toc361508582"/>
            <w:bookmarkStart w:id="43" w:name="_Toc384308207"/>
            <w:bookmarkStart w:id="44" w:name="_Toc352691470"/>
            <w:r>
              <w:rPr>
                <w:sz w:val="21"/>
                <w:szCs w:val="21"/>
              </w:rPr>
              <w:t>自投标人提交投标文件截止之日起计算</w:t>
            </w:r>
            <w:r>
              <w:rPr>
                <w:sz w:val="21"/>
                <w:szCs w:val="21"/>
                <w:u w:val="single"/>
              </w:rPr>
              <w:t>90</w:t>
            </w:r>
            <w:r>
              <w:rPr>
                <w:sz w:val="21"/>
                <w:szCs w:val="21"/>
                <w:u w:val="single"/>
              </w:rPr>
              <w:fldChar w:fldCharType="begin"/>
            </w:r>
            <w:r>
              <w:rPr>
                <w:sz w:val="21"/>
                <w:szCs w:val="21"/>
                <w:u w:val="single"/>
              </w:rPr>
              <w:instrText xml:space="preserve"> AUTOTEXT  input200 \* MERGEFORMAT </w:instrText>
            </w:r>
            <w:r>
              <w:rPr>
                <w:sz w:val="21"/>
                <w:szCs w:val="21"/>
                <w:u w:val="single"/>
              </w:rPr>
              <w:fldChar w:fldCharType="end"/>
            </w:r>
            <w:r>
              <w:rPr>
                <w:sz w:val="21"/>
                <w:szCs w:val="21"/>
              </w:rPr>
              <w:t>日</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3.4.</w:t>
            </w:r>
            <w:bookmarkEnd w:id="39"/>
            <w:bookmarkEnd w:id="40"/>
            <w:bookmarkEnd w:id="41"/>
            <w:bookmarkEnd w:id="42"/>
            <w:bookmarkEnd w:id="43"/>
            <w:bookmarkEnd w:id="44"/>
            <w:r>
              <w:rPr>
                <w:rFonts w:ascii="Times New Roman" w:hAnsi="Times New Roman"/>
                <w:sz w:val="21"/>
                <w:szCs w:val="21"/>
              </w:rPr>
              <w:t>1</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投标保证金</w:t>
            </w:r>
          </w:p>
        </w:tc>
        <w:tc>
          <w:tcPr>
            <w:tcW w:w="4132" w:type="dxa"/>
            <w:tcBorders>
              <w:top w:val="single" w:color="auto" w:sz="4" w:space="0"/>
              <w:left w:val="single" w:color="auto" w:sz="4" w:space="0"/>
              <w:bottom w:val="single" w:color="auto" w:sz="4" w:space="0"/>
              <w:right w:val="single" w:color="auto" w:sz="4" w:space="0"/>
            </w:tcBorders>
            <w:vAlign w:val="center"/>
          </w:tcPr>
          <w:p>
            <w:pPr>
              <w:numPr>
                <w:ilvl w:val="255"/>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（1）投标保证金的金额：</w:t>
            </w:r>
            <w:r>
              <w:rPr>
                <w:rFonts w:hint="eastAsia" w:asciiTheme="minorEastAsia" w:hAnsiTheme="minorEastAsia" w:eastAsiaTheme="minorEastAsia" w:cstheme="minorEastAsia"/>
                <w:sz w:val="21"/>
                <w:szCs w:val="21"/>
                <w:u w:val="single"/>
              </w:rPr>
              <w:t xml:space="preserve">  1</w:t>
            </w:r>
            <w:r>
              <w:rPr>
                <w:rFonts w:hint="eastAsia" w:asciiTheme="minorEastAsia" w:hAnsiTheme="minorEastAsia" w:eastAsiaTheme="minorEastAsia" w:cstheme="minorEastAsia"/>
                <w:sz w:val="21"/>
                <w:szCs w:val="21"/>
              </w:rPr>
              <w:t>万元人民币。</w:t>
            </w:r>
          </w:p>
          <w:p>
            <w:pPr>
              <w:numPr>
                <w:ilvl w:val="255"/>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（2)投标人以现金方式提交。</w:t>
            </w:r>
          </w:p>
          <w:p>
            <w:pPr>
              <w:pStyle w:val="2"/>
              <w:ind w:left="480" w:hanging="480" w:hangingChars="200"/>
            </w:pPr>
            <w:r>
              <w:rPr>
                <w:rFonts w:hint="eastAsia"/>
              </w:rPr>
              <w:t>（3）投标保证金缴纳时间为投标截止日之前。</w:t>
            </w:r>
          </w:p>
          <w:p>
            <w:pPr>
              <w:rPr>
                <w:rFonts w:asciiTheme="minorEastAsia" w:hAnsiTheme="minorEastAsia" w:eastAsiaTheme="minorEastAsia" w:cstheme="minorEastAsia"/>
                <w:sz w:val="21"/>
                <w:szCs w:val="21"/>
              </w:rPr>
            </w:pPr>
          </w:p>
          <w:p>
            <w:pP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3.4.4</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其他可以不予退还投标保证金的情形</w:t>
            </w:r>
          </w:p>
        </w:tc>
        <w:tc>
          <w:tcPr>
            <w:tcW w:w="4132" w:type="dxa"/>
            <w:tcBorders>
              <w:top w:val="single" w:color="auto" w:sz="4" w:space="0"/>
              <w:left w:val="single" w:color="auto" w:sz="4" w:space="0"/>
              <w:bottom w:val="single" w:color="auto" w:sz="4" w:space="0"/>
              <w:right w:val="single" w:color="auto" w:sz="4" w:space="0"/>
            </w:tcBorders>
            <w:vAlign w:val="center"/>
          </w:tcPr>
          <w:p>
            <w:pPr>
              <w:spacing w:line="340" w:lineRule="exac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（1）投标人在投标活动中串通投标、弄虚作假的，投标保证金也不予退还。</w:t>
            </w:r>
          </w:p>
          <w:p>
            <w:pPr>
              <w:spacing w:line="340" w:lineRule="exac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（2）中标人不能按招标文件要求提交履约保证金的，视为放弃中标，其投标保证金不予退还，给招标人造成的损失超过投标保证金数额的，中标人还应当对超过部分予以赔偿。</w:t>
            </w:r>
          </w:p>
          <w:p>
            <w:pPr>
              <w:spacing w:line="440" w:lineRule="exact"/>
              <w:ind w:firstLine="0" w:firstLineChars="0"/>
              <w:rPr>
                <w:rFonts w:ascii="Times New Roman" w:hAnsi="Times New Roman"/>
                <w:sz w:val="21"/>
                <w:szCs w:val="21"/>
              </w:rPr>
            </w:pPr>
            <w:r>
              <w:rPr>
                <w:rFonts w:hint="eastAsia" w:asciiTheme="minorEastAsia" w:hAnsiTheme="minorEastAsia" w:eastAsiaTheme="minorEastAsia" w:cstheme="minorEastAsia"/>
                <w:sz w:val="21"/>
                <w:szCs w:val="21"/>
              </w:rPr>
              <w:t>招标人和中标人应当自中标通知书发出之日起30天内，根据招标文件和中标人的投标文件订立书面合同。中标人无正当理由拒签合同的，招标人取消其中标资格，其投标保证金不予退还。</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3.5</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资格审查资料的特殊要求</w:t>
            </w:r>
          </w:p>
        </w:tc>
        <w:tc>
          <w:tcPr>
            <w:tcW w:w="4132" w:type="dxa"/>
            <w:tcBorders>
              <w:top w:val="single" w:color="auto" w:sz="4" w:space="0"/>
              <w:left w:val="single" w:color="auto" w:sz="4" w:space="0"/>
              <w:bottom w:val="single" w:color="auto" w:sz="4" w:space="0"/>
              <w:right w:val="single" w:color="auto" w:sz="4" w:space="0"/>
            </w:tcBorders>
            <w:vAlign w:val="center"/>
          </w:tcPr>
          <w:p>
            <w:pPr>
              <w:pStyle w:val="12"/>
              <w:topLinePunct/>
              <w:spacing w:line="400" w:lineRule="exact"/>
              <w:ind w:firstLine="0" w:firstLineChars="0"/>
              <w:rPr>
                <w:rFonts w:ascii="Times New Roman" w:hAnsi="Times New Roman"/>
                <w:sz w:val="21"/>
                <w:szCs w:val="21"/>
              </w:rPr>
            </w:pPr>
            <w:r>
              <w:rPr>
                <w:rFonts w:ascii="Times New Roman" w:hAnsi="Times New Roman"/>
                <w:sz w:val="21"/>
                <w:szCs w:val="21"/>
              </w:rPr>
              <w:t>无</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3.5.2</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近年财务状况的年份要求</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left"/>
              <w:rPr>
                <w:rFonts w:ascii="Times New Roman" w:hAnsi="Times New Roman"/>
                <w:sz w:val="21"/>
                <w:szCs w:val="21"/>
                <w:u w:val="single"/>
              </w:rPr>
            </w:pPr>
            <w:r>
              <w:rPr>
                <w:rFonts w:hint="eastAsia" w:ascii="宋体" w:hAnsi="宋体" w:cs="宋体"/>
                <w:sz w:val="21"/>
                <w:szCs w:val="21"/>
                <w:u w:val="single"/>
              </w:rPr>
              <w:t xml:space="preserve"> /  </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3.6.1</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是否允许递交备选投标方案</w:t>
            </w:r>
          </w:p>
        </w:tc>
        <w:tc>
          <w:tcPr>
            <w:tcW w:w="4132" w:type="dxa"/>
            <w:tcBorders>
              <w:top w:val="single" w:color="auto" w:sz="4" w:space="0"/>
              <w:left w:val="single" w:color="auto" w:sz="4" w:space="0"/>
              <w:bottom w:val="single" w:color="auto" w:sz="4" w:space="0"/>
              <w:right w:val="single" w:color="auto" w:sz="4" w:space="0"/>
            </w:tcBorders>
            <w:vAlign w:val="center"/>
          </w:tcPr>
          <w:p>
            <w:pPr>
              <w:pStyle w:val="12"/>
              <w:topLinePunct/>
              <w:spacing w:line="400" w:lineRule="exact"/>
              <w:ind w:firstLine="0" w:firstLineChars="0"/>
              <w:rPr>
                <w:rFonts w:ascii="Times New Roman" w:hAnsi="Times New Roman"/>
                <w:sz w:val="21"/>
                <w:szCs w:val="21"/>
              </w:rPr>
            </w:pPr>
            <w:r>
              <w:rPr>
                <w:rFonts w:ascii="Times New Roman" w:hAnsi="Times New Roman"/>
                <w:sz w:val="21"/>
                <w:szCs w:val="21"/>
              </w:rPr>
              <w:t>不允许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3.7.3（2）</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投标文件副本份数及其他要求</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一份正本，一份副本。</w:t>
            </w:r>
          </w:p>
          <w:p>
            <w:pPr>
              <w:spacing w:line="440" w:lineRule="exact"/>
              <w:ind w:firstLine="0" w:firstLineChars="0"/>
              <w:rPr>
                <w:rFonts w:ascii="Times New Roman" w:hAnsi="Times New Roman"/>
                <w:sz w:val="21"/>
                <w:szCs w:val="21"/>
              </w:rPr>
            </w:pPr>
            <w:r>
              <w:rPr>
                <w:rFonts w:hint="eastAsia" w:asciiTheme="minorEastAsia" w:hAnsiTheme="minorEastAsia" w:eastAsiaTheme="minorEastAsia" w:cstheme="minorEastAsia"/>
                <w:sz w:val="21"/>
                <w:szCs w:val="21"/>
              </w:rPr>
              <w:t>投标文件副本由其正本复制（复印）而成（包括证明文件）。当副本和正本不一致时，以正本为准，但副本和正本内容不一致造成的评标差错由投标人自行承担。</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3.7.3（3）</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Times New Roman" w:hAnsi="Times New Roman"/>
                <w:sz w:val="21"/>
                <w:szCs w:val="21"/>
              </w:rPr>
            </w:pPr>
            <w:r>
              <w:rPr>
                <w:rFonts w:ascii="Times New Roman" w:hAnsi="Times New Roman"/>
                <w:sz w:val="21"/>
                <w:szCs w:val="21"/>
              </w:rPr>
              <w:t>投标文件是否需分册装订</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hint="eastAsia" w:asciiTheme="minorEastAsia" w:hAnsiTheme="minorEastAsia" w:eastAsiaTheme="minorEastAsia" w:cstheme="minorEastAsia"/>
                <w:sz w:val="21"/>
                <w:szCs w:val="21"/>
              </w:rPr>
              <w:t>本条款修改为：投标文件的正本、副本应采用粘贴或装订方式分别装订成册，不得采用活页夹等可随时拆换的方式装订，同时投标文件应从目录起逐页连续编码，否则，招标人将对投标文件页数的丢失、散落或其它后果不承担任何责任。</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4.1.2</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shd w:val="clear" w:color="FFFFFF" w:fill="D9D9D9"/>
              </w:rPr>
            </w:pPr>
            <w:r>
              <w:rPr>
                <w:rFonts w:ascii="Times New Roman" w:hAnsi="Times New Roman"/>
                <w:sz w:val="21"/>
                <w:szCs w:val="21"/>
              </w:rPr>
              <w:t>封套上应载明的信息</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投标文件封套：</w:t>
            </w:r>
          </w:p>
          <w:p>
            <w:pPr>
              <w:spacing w:line="400" w:lineRule="exact"/>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招标人名称：</w:t>
            </w: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z w:val="21"/>
                <w:szCs w:val="21"/>
                <w:u w:val="single"/>
              </w:rPr>
              <w:t xml:space="preserve">   </w:t>
            </w:r>
          </w:p>
          <w:p>
            <w:pPr>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招标人地址：</w:t>
            </w: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z w:val="21"/>
                <w:szCs w:val="21"/>
                <w:u w:val="single"/>
              </w:rPr>
              <w:t xml:space="preserve">   </w:t>
            </w:r>
          </w:p>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标段投标</w:t>
            </w:r>
          </w:p>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时</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分前不得开启</w:t>
            </w:r>
          </w:p>
          <w:p>
            <w:pPr>
              <w:pStyle w:val="2"/>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投标人名称：</w:t>
            </w: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z w:val="21"/>
                <w:szCs w:val="21"/>
                <w:u w:val="single"/>
              </w:rPr>
              <w:t xml:space="preserve">   </w:t>
            </w:r>
          </w:p>
          <w:p>
            <w:pPr>
              <w:pStyle w:val="2"/>
              <w:ind w:firstLine="0" w:firstLineChars="0"/>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4.2.1</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投标截止时间</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1"/>
                <w:szCs w:val="21"/>
              </w:rPr>
            </w:pPr>
            <w:r>
              <w:rPr>
                <w:rFonts w:hint="eastAsia" w:asciiTheme="minorEastAsia" w:hAnsiTheme="minorEastAsia" w:eastAsiaTheme="minorEastAsia" w:cstheme="minorEastAsia"/>
                <w:sz w:val="21"/>
                <w:szCs w:val="21"/>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4.2.2</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递交投标文件地点</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1"/>
                <w:szCs w:val="21"/>
              </w:rPr>
            </w:pPr>
            <w:r>
              <w:rPr>
                <w:rFonts w:hint="eastAsia" w:asciiTheme="minorEastAsia" w:hAnsiTheme="minorEastAsia" w:eastAsiaTheme="minorEastAsia" w:cstheme="minorEastAsia"/>
                <w:sz w:val="21"/>
                <w:szCs w:val="21"/>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4.2.3</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投标文件是否退还</w:t>
            </w:r>
          </w:p>
        </w:tc>
        <w:tc>
          <w:tcPr>
            <w:tcW w:w="4132" w:type="dxa"/>
            <w:tcBorders>
              <w:top w:val="single" w:color="auto" w:sz="4" w:space="0"/>
              <w:left w:val="single" w:color="auto" w:sz="4" w:space="0"/>
              <w:bottom w:val="single" w:color="auto" w:sz="4" w:space="0"/>
              <w:right w:val="single" w:color="auto" w:sz="4" w:space="0"/>
            </w:tcBorders>
            <w:vAlign w:val="center"/>
          </w:tcPr>
          <w:p>
            <w:pPr>
              <w:pStyle w:val="12"/>
              <w:topLinePunct/>
              <w:spacing w:line="400" w:lineRule="exact"/>
              <w:rPr>
                <w:rFonts w:ascii="Times New Roman" w:hAnsi="Times New Roman"/>
                <w:sz w:val="21"/>
                <w:szCs w:val="21"/>
              </w:rPr>
            </w:pPr>
            <w:r>
              <w:rPr>
                <w:rFonts w:ascii="Times New Roman" w:hAnsi="Times New Roman"/>
                <w:sz w:val="21"/>
                <w:szCs w:val="21"/>
              </w:rPr>
              <w:t>否</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nil"/>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5.1</w:t>
            </w:r>
          </w:p>
        </w:tc>
        <w:tc>
          <w:tcPr>
            <w:tcW w:w="3621" w:type="dxa"/>
            <w:tcBorders>
              <w:top w:val="single" w:color="auto" w:sz="4" w:space="0"/>
              <w:left w:val="single" w:color="auto" w:sz="4" w:space="0"/>
              <w:bottom w:val="nil"/>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开标时间和地点</w:t>
            </w:r>
          </w:p>
        </w:tc>
        <w:tc>
          <w:tcPr>
            <w:tcW w:w="4132" w:type="dxa"/>
            <w:tcBorders>
              <w:top w:val="single" w:color="auto" w:sz="4" w:space="0"/>
              <w:left w:val="single" w:color="auto" w:sz="4" w:space="0"/>
              <w:bottom w:val="nil"/>
              <w:right w:val="single" w:color="auto" w:sz="4" w:space="0"/>
            </w:tcBorders>
            <w:vAlign w:val="center"/>
          </w:tcPr>
          <w:p>
            <w:pPr>
              <w:spacing w:line="440" w:lineRule="exact"/>
              <w:rPr>
                <w:rFonts w:ascii="Times New Roman" w:hAnsi="Times New Roman"/>
                <w:sz w:val="21"/>
                <w:szCs w:val="21"/>
              </w:rPr>
            </w:pPr>
            <w:r>
              <w:rPr>
                <w:rFonts w:ascii="Times New Roman" w:hAnsi="Times New Roman"/>
                <w:sz w:val="21"/>
                <w:szCs w:val="21"/>
              </w:rPr>
              <w:t>开标时间：同投标截止时间</w:t>
            </w:r>
          </w:p>
          <w:p>
            <w:pPr>
              <w:spacing w:line="440" w:lineRule="exact"/>
              <w:rPr>
                <w:rFonts w:ascii="Times New Roman" w:hAnsi="Times New Roman"/>
                <w:sz w:val="21"/>
                <w:szCs w:val="21"/>
              </w:rPr>
            </w:pPr>
            <w:r>
              <w:rPr>
                <w:rFonts w:ascii="Times New Roman" w:hAnsi="Times New Roman"/>
                <w:sz w:val="21"/>
                <w:szCs w:val="21"/>
              </w:rPr>
              <w:t>开标地点：</w:t>
            </w:r>
            <w:r>
              <w:rPr>
                <w:rFonts w:hint="eastAsia" w:asciiTheme="minorEastAsia" w:hAnsiTheme="minorEastAsia" w:eastAsiaTheme="minorEastAsia" w:cstheme="minorEastAsia"/>
                <w:sz w:val="21"/>
                <w:szCs w:val="21"/>
                <w:u w:val="single"/>
              </w:rPr>
              <w:t>详见招标公告</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nil"/>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5.2（</w:t>
            </w:r>
            <w:r>
              <w:rPr>
                <w:rFonts w:hint="eastAsia" w:ascii="Times New Roman" w:hAnsi="Times New Roman"/>
                <w:sz w:val="21"/>
                <w:szCs w:val="21"/>
              </w:rPr>
              <w:t>4</w:t>
            </w:r>
            <w:r>
              <w:rPr>
                <w:rFonts w:ascii="Times New Roman" w:hAnsi="Times New Roman"/>
                <w:sz w:val="21"/>
                <w:szCs w:val="21"/>
              </w:rPr>
              <w:t>）</w:t>
            </w:r>
          </w:p>
        </w:tc>
        <w:tc>
          <w:tcPr>
            <w:tcW w:w="3621" w:type="dxa"/>
            <w:tcBorders>
              <w:top w:val="single" w:color="auto" w:sz="4" w:space="0"/>
              <w:left w:val="single" w:color="auto" w:sz="4" w:space="0"/>
              <w:bottom w:val="nil"/>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开标程序</w:t>
            </w:r>
          </w:p>
        </w:tc>
        <w:tc>
          <w:tcPr>
            <w:tcW w:w="4132" w:type="dxa"/>
            <w:tcBorders>
              <w:top w:val="single" w:color="auto" w:sz="4" w:space="0"/>
              <w:left w:val="single" w:color="auto" w:sz="4" w:space="0"/>
              <w:bottom w:val="nil"/>
              <w:right w:val="single" w:color="auto" w:sz="4" w:space="0"/>
            </w:tcBorders>
            <w:vAlign w:val="center"/>
          </w:tcPr>
          <w:p>
            <w:pPr>
              <w:spacing w:line="340" w:lineRule="exact"/>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密封情况检查：</w:t>
            </w:r>
            <w:r>
              <w:rPr>
                <w:rFonts w:hint="eastAsia" w:asciiTheme="minorEastAsia" w:hAnsiTheme="minorEastAsia" w:eastAsiaTheme="minorEastAsia" w:cstheme="minorEastAsia"/>
                <w:sz w:val="21"/>
                <w:szCs w:val="21"/>
                <w:u w:val="single"/>
              </w:rPr>
              <w:t>开标前由招标人或投标人代表检查确认接收的投标文件，如未按要求密封将予以拒收。</w:t>
            </w:r>
          </w:p>
          <w:p>
            <w:pPr>
              <w:spacing w:line="440" w:lineRule="exact"/>
              <w:rPr>
                <w:rFonts w:ascii="Times New Roman" w:hAnsi="Times New Roman"/>
                <w:sz w:val="21"/>
                <w:szCs w:val="21"/>
              </w:rPr>
            </w:pPr>
            <w:r>
              <w:rPr>
                <w:rFonts w:hint="eastAsia" w:asciiTheme="minorEastAsia" w:hAnsiTheme="minorEastAsia" w:eastAsiaTheme="minorEastAsia" w:cstheme="minorEastAsia"/>
                <w:sz w:val="21"/>
                <w:szCs w:val="21"/>
              </w:rPr>
              <w:t>开标顺序：</w:t>
            </w:r>
            <w:r>
              <w:rPr>
                <w:rFonts w:hint="eastAsia" w:asciiTheme="minorEastAsia" w:hAnsiTheme="minorEastAsia" w:eastAsiaTheme="minorEastAsia" w:cstheme="minorEastAsia"/>
                <w:sz w:val="21"/>
                <w:szCs w:val="21"/>
                <w:u w:val="single"/>
              </w:rPr>
              <w:t>随机</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6.1.1</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评标委员会的组建</w:t>
            </w:r>
          </w:p>
        </w:tc>
        <w:tc>
          <w:tcPr>
            <w:tcW w:w="4132" w:type="dxa"/>
            <w:tcBorders>
              <w:top w:val="single" w:color="auto" w:sz="4" w:space="0"/>
              <w:left w:val="single" w:color="auto" w:sz="4" w:space="0"/>
              <w:bottom w:val="single" w:color="auto" w:sz="4" w:space="0"/>
              <w:right w:val="single" w:color="auto" w:sz="4" w:space="0"/>
            </w:tcBorders>
            <w:vAlign w:val="center"/>
          </w:tcPr>
          <w:p>
            <w:pPr>
              <w:spacing w:line="340" w:lineRule="exact"/>
              <w:ind w:firstLine="0" w:firstLineChars="0"/>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评标委员会构成：</w:t>
            </w:r>
            <w:r>
              <w:rPr>
                <w:rFonts w:hint="eastAsia" w:asciiTheme="minorEastAsia" w:hAnsiTheme="minorEastAsia" w:eastAsiaTheme="minorEastAsia" w:cstheme="minorEastAsia"/>
                <w:sz w:val="21"/>
                <w:szCs w:val="21"/>
                <w:u w:val="single"/>
              </w:rPr>
              <w:t xml:space="preserve"> 3 人及以上的单数。</w:t>
            </w:r>
          </w:p>
          <w:p>
            <w:pPr>
              <w:spacing w:line="340" w:lineRule="exac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招标人代表0人，专家3人。</w:t>
            </w:r>
          </w:p>
          <w:p>
            <w:pPr>
              <w:spacing w:line="440" w:lineRule="exact"/>
              <w:ind w:firstLine="0" w:firstLineChars="0"/>
              <w:rPr>
                <w:rFonts w:ascii="Times New Roman" w:hAnsi="Times New Roman"/>
                <w:sz w:val="21"/>
                <w:szCs w:val="21"/>
              </w:rPr>
            </w:pPr>
            <w:r>
              <w:rPr>
                <w:rFonts w:hint="eastAsia" w:asciiTheme="minorEastAsia" w:hAnsiTheme="minorEastAsia" w:eastAsiaTheme="minorEastAsia" w:cstheme="minorEastAsia"/>
                <w:sz w:val="21"/>
                <w:szCs w:val="21"/>
              </w:rPr>
              <w:t>评标专家确定方式：</w:t>
            </w:r>
            <w:r>
              <w:rPr>
                <w:rFonts w:hint="eastAsia" w:asciiTheme="minorEastAsia" w:hAnsiTheme="minorEastAsia" w:eastAsiaTheme="minorEastAsia" w:cstheme="minorEastAsia"/>
                <w:b/>
                <w:bCs/>
                <w:color w:val="FF0000"/>
                <w:sz w:val="21"/>
                <w:szCs w:val="21"/>
                <w:u w:val="single"/>
              </w:rPr>
              <w:t>在四川兴蜀公司采购监督人员库中随机抽取</w:t>
            </w:r>
            <w:r>
              <w:rPr>
                <w:rFonts w:hint="eastAsia" w:asciiTheme="minorEastAsia" w:hAnsiTheme="minorEastAsia" w:eastAsiaTheme="minorEastAsia" w:cstheme="minorEastAsia"/>
                <w:sz w:val="21"/>
                <w:szCs w:val="21"/>
                <w:u w:val="single"/>
              </w:rPr>
              <w:t>。</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6.3.2</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ascii="Times New Roman" w:hAnsi="Times New Roman"/>
                <w:sz w:val="21"/>
                <w:szCs w:val="21"/>
              </w:rPr>
            </w:pPr>
            <w:r>
              <w:rPr>
                <w:rFonts w:ascii="Times New Roman" w:hAnsi="Times New Roman"/>
                <w:sz w:val="21"/>
                <w:szCs w:val="21"/>
              </w:rPr>
              <w:t>评标委员会推荐中标候选人的人数</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推荐的中标候选人数：</w:t>
            </w:r>
            <w:r>
              <w:rPr>
                <w:rFonts w:hint="eastAsia" w:asciiTheme="minorEastAsia" w:hAnsiTheme="minorEastAsia" w:eastAsiaTheme="minorEastAsia" w:cstheme="minorEastAsia"/>
                <w:sz w:val="21"/>
                <w:szCs w:val="21"/>
                <w:u w:val="single"/>
              </w:rPr>
              <w:t>1-3</w:t>
            </w:r>
            <w:r>
              <w:rPr>
                <w:rFonts w:hint="eastAsia" w:asciiTheme="minorEastAsia" w:hAnsiTheme="minorEastAsia" w:eastAsiaTheme="minorEastAsia" w:cstheme="minorEastAsia"/>
                <w:sz w:val="21"/>
                <w:szCs w:val="21"/>
              </w:rPr>
              <w:t>人。</w:t>
            </w:r>
          </w:p>
          <w:p>
            <w:pPr>
              <w:spacing w:line="440" w:lineRule="exac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推荐投标人原则：</w:t>
            </w:r>
          </w:p>
          <w:p>
            <w:pPr>
              <w:spacing w:line="440" w:lineRule="exac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评标委员会对通过评审的所有的投标人，先按照评标价由低到高进行排序，若多个投标人评标价相同时，首先按投标人注册资本金由高到低进行排序，若注册资本金也相同时，则按供货期从短到长进行排序。评标委员会最终推荐前3名中标候选人（若不足3名，则按相应数量推荐）。</w:t>
            </w:r>
          </w:p>
          <w:p>
            <w:pPr>
              <w:spacing w:line="440" w:lineRule="exact"/>
              <w:ind w:firstLine="0" w:firstLineChars="0"/>
              <w:rPr>
                <w:rFonts w:ascii="Times New Roman" w:hAnsi="Times New Roman"/>
                <w:sz w:val="21"/>
                <w:szCs w:val="21"/>
              </w:rPr>
            </w:pP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7.1</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Times New Roman" w:hAnsi="Times New Roman"/>
                <w:sz w:val="21"/>
                <w:szCs w:val="21"/>
              </w:rPr>
            </w:pPr>
            <w:r>
              <w:rPr>
                <w:rFonts w:ascii="Times New Roman" w:hAnsi="Times New Roman"/>
                <w:sz w:val="21"/>
                <w:szCs w:val="21"/>
              </w:rPr>
              <w:t>中标候选人公示媒介及期限</w:t>
            </w:r>
          </w:p>
        </w:tc>
        <w:tc>
          <w:tcPr>
            <w:tcW w:w="4132" w:type="dxa"/>
            <w:tcBorders>
              <w:top w:val="single" w:color="auto" w:sz="4" w:space="0"/>
              <w:left w:val="single" w:color="auto" w:sz="4" w:space="0"/>
              <w:bottom w:val="single" w:color="auto" w:sz="4" w:space="0"/>
              <w:right w:val="single" w:color="auto" w:sz="4" w:space="0"/>
            </w:tcBorders>
            <w:vAlign w:val="center"/>
          </w:tcPr>
          <w:p>
            <w:pPr>
              <w:pStyle w:val="46"/>
              <w:autoSpaceDE/>
              <w:autoSpaceDN/>
              <w:spacing w:before="57"/>
              <w:ind w:firstLine="0" w:firstLineChars="0"/>
              <w:jc w:val="both"/>
              <w:rPr>
                <w:rFonts w:asciiTheme="minorEastAsia" w:hAnsiTheme="minorEastAsia" w:eastAsiaTheme="minorEastAsia" w:cstheme="minorEastAsia"/>
                <w:kern w:val="2"/>
                <w:sz w:val="21"/>
                <w:szCs w:val="21"/>
                <w:lang w:val="en-US"/>
              </w:rPr>
            </w:pPr>
            <w:r>
              <w:rPr>
                <w:rFonts w:hint="eastAsia" w:asciiTheme="minorEastAsia" w:hAnsiTheme="minorEastAsia" w:eastAsiaTheme="minorEastAsia" w:cstheme="minorEastAsia"/>
                <w:kern w:val="2"/>
                <w:sz w:val="21"/>
                <w:szCs w:val="21"/>
                <w:lang w:val="en-US"/>
              </w:rPr>
              <w:t>公示媒介：</w:t>
            </w:r>
            <w:r>
              <w:rPr>
                <w:rFonts w:hint="eastAsia"/>
                <w:szCs w:val="24"/>
              </w:rPr>
              <w:t>四川兴蜀公司网</w:t>
            </w:r>
            <w:r>
              <w:rPr>
                <w:rFonts w:hint="eastAsia"/>
                <w:szCs w:val="24"/>
                <w:lang w:val="en-US"/>
              </w:rPr>
              <w:t>(</w:t>
            </w:r>
            <w:r>
              <w:fldChar w:fldCharType="begin"/>
            </w:r>
            <w:r>
              <w:instrText xml:space="preserve"> HYPERLINK "http://www.scxsgs.com" </w:instrText>
            </w:r>
            <w:r>
              <w:fldChar w:fldCharType="separate"/>
            </w:r>
            <w:r>
              <w:rPr>
                <w:rStyle w:val="34"/>
                <w:rFonts w:hint="eastAsia" w:ascii="Times New Roman" w:hAnsi="Times New Roman"/>
                <w:szCs w:val="24"/>
                <w:lang w:val="en-US"/>
              </w:rPr>
              <w:t>http://www.scxsgs.com</w:t>
            </w:r>
            <w:r>
              <w:rPr>
                <w:rStyle w:val="34"/>
                <w:rFonts w:hint="eastAsia" w:ascii="Times New Roman" w:hAnsi="Times New Roman"/>
                <w:szCs w:val="24"/>
                <w:lang w:val="en-US"/>
              </w:rPr>
              <w:fldChar w:fldCharType="end"/>
            </w:r>
            <w:r>
              <w:rPr>
                <w:rFonts w:hint="eastAsia" w:ascii="Times New Roman" w:hAnsi="Times New Roman"/>
                <w:szCs w:val="24"/>
                <w:u w:val="single"/>
                <w:lang w:val="en-US"/>
              </w:rPr>
              <w:t>）</w:t>
            </w:r>
          </w:p>
          <w:p>
            <w:pPr>
              <w:ind w:firstLine="0" w:firstLineChars="0"/>
              <w:rPr>
                <w:rFonts w:asciiTheme="minorEastAsia" w:hAnsiTheme="minorEastAsia" w:eastAsiaTheme="minorEastAsia" w:cstheme="minorEastAsia"/>
                <w:spacing w:val="-2"/>
                <w:sz w:val="21"/>
                <w:szCs w:val="21"/>
                <w:u w:val="single"/>
              </w:rPr>
            </w:pPr>
            <w:r>
              <w:rPr>
                <w:rFonts w:hint="eastAsia" w:asciiTheme="minorEastAsia" w:hAnsiTheme="minorEastAsia" w:eastAsiaTheme="minorEastAsia" w:cstheme="minorEastAsia"/>
                <w:spacing w:val="-2"/>
                <w:sz w:val="21"/>
                <w:szCs w:val="21"/>
              </w:rPr>
              <w:t>公示期限：</w:t>
            </w:r>
            <w:r>
              <w:rPr>
                <w:rFonts w:hint="eastAsia" w:asciiTheme="minorEastAsia" w:hAnsiTheme="minorEastAsia" w:eastAsiaTheme="minorEastAsia" w:cstheme="minorEastAsia"/>
                <w:spacing w:val="-2"/>
                <w:sz w:val="21"/>
                <w:szCs w:val="21"/>
                <w:u w:val="single"/>
              </w:rPr>
              <w:t>3个工作日</w:t>
            </w:r>
          </w:p>
          <w:p>
            <w:pPr>
              <w:spacing w:line="440" w:lineRule="exact"/>
              <w:ind w:firstLine="0" w:firstLineChars="0"/>
              <w:rPr>
                <w:rFonts w:ascii="Times New Roman" w:hAnsi="Times New Roman"/>
                <w:sz w:val="21"/>
                <w:szCs w:val="21"/>
              </w:rPr>
            </w:pPr>
            <w:r>
              <w:rPr>
                <w:rFonts w:hint="eastAsia" w:asciiTheme="minorEastAsia" w:hAnsiTheme="minorEastAsia" w:eastAsiaTheme="minorEastAsia" w:cstheme="minorEastAsia"/>
                <w:spacing w:val="-2"/>
                <w:sz w:val="21"/>
                <w:szCs w:val="21"/>
              </w:rPr>
              <w:t>公示的其他内容：</w:t>
            </w: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z w:val="21"/>
                <w:szCs w:val="21"/>
                <w:u w:val="single"/>
              </w:rPr>
              <w:t>/</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7.4</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是否授权评标委员会确定中标人</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否</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7.6.1</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履约保证金</w:t>
            </w:r>
          </w:p>
        </w:tc>
        <w:tc>
          <w:tcPr>
            <w:tcW w:w="4132" w:type="dxa"/>
            <w:tcBorders>
              <w:top w:val="single" w:color="auto" w:sz="4" w:space="0"/>
              <w:left w:val="single" w:color="auto" w:sz="4" w:space="0"/>
              <w:bottom w:val="single" w:color="auto" w:sz="4" w:space="0"/>
              <w:right w:val="single" w:color="auto" w:sz="4" w:space="0"/>
            </w:tcBorders>
            <w:vAlign w:val="center"/>
          </w:tcPr>
          <w:p>
            <w:pPr>
              <w:pStyle w:val="12"/>
              <w:topLinePunct/>
              <w:spacing w:line="400" w:lineRule="exact"/>
              <w:ind w:firstLine="0" w:firstLineChars="0"/>
              <w:rPr>
                <w:rFonts w:hAnsi="宋体" w:cs="宋体"/>
                <w:sz w:val="21"/>
                <w:szCs w:val="21"/>
              </w:rPr>
            </w:pPr>
            <w:r>
              <w:rPr>
                <w:rFonts w:hint="eastAsia" w:asciiTheme="minorEastAsia" w:hAnsiTheme="minorEastAsia" w:eastAsiaTheme="minorEastAsia" w:cstheme="minorEastAsia"/>
                <w:sz w:val="21"/>
                <w:szCs w:val="21"/>
                <w:lang w:val="zh-CN"/>
              </w:rPr>
              <w:t>（1）</w:t>
            </w:r>
            <w:r>
              <w:rPr>
                <w:rFonts w:hint="eastAsia" w:hAnsi="宋体" w:cs="宋体"/>
                <w:sz w:val="21"/>
                <w:szCs w:val="21"/>
              </w:rPr>
              <w:t>履约保证金的形式：</w:t>
            </w:r>
            <w:r>
              <w:rPr>
                <w:rFonts w:hint="eastAsia" w:hAnsi="宋体" w:cs="宋体"/>
                <w:sz w:val="21"/>
                <w:szCs w:val="21"/>
                <w:u w:val="single"/>
              </w:rPr>
              <w:t>现金担保，金额为5万元人民币</w:t>
            </w:r>
            <w:r>
              <w:rPr>
                <w:rFonts w:hint="eastAsia" w:hAnsi="宋体" w:cs="宋体"/>
                <w:sz w:val="21"/>
                <w:szCs w:val="21"/>
              </w:rPr>
              <w:t>。</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9</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eastAsiaTheme="minorEastAsia"/>
                <w:sz w:val="21"/>
                <w:szCs w:val="21"/>
              </w:rPr>
              <w:t>是否采用电子招标投标</w:t>
            </w:r>
          </w:p>
        </w:tc>
        <w:tc>
          <w:tcPr>
            <w:tcW w:w="413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heme="minorEastAsia"/>
                <w:sz w:val="21"/>
                <w:szCs w:val="21"/>
              </w:rPr>
            </w:pPr>
            <w:r>
              <w:rPr>
                <w:rFonts w:ascii="Times New Roman" w:hAnsi="Times New Roman" w:eastAsiaTheme="minorEastAsia"/>
                <w:sz w:val="21"/>
                <w:szCs w:val="21"/>
              </w:rPr>
              <w:t>否</w:t>
            </w:r>
          </w:p>
        </w:tc>
      </w:tr>
      <w:tr>
        <w:tblPrEx>
          <w:tblCellMar>
            <w:top w:w="0" w:type="dxa"/>
            <w:left w:w="108" w:type="dxa"/>
            <w:bottom w:w="0" w:type="dxa"/>
            <w:right w:w="108" w:type="dxa"/>
          </w:tblCellMar>
        </w:tblPrEx>
        <w:trPr>
          <w:trHeight w:val="529"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10</w:t>
            </w:r>
          </w:p>
        </w:tc>
        <w:tc>
          <w:tcPr>
            <w:tcW w:w="775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sz w:val="21"/>
                <w:szCs w:val="21"/>
              </w:rPr>
            </w:pPr>
            <w:r>
              <w:rPr>
                <w:rFonts w:ascii="Times New Roman" w:hAnsi="Times New Roman"/>
                <w:sz w:val="21"/>
                <w:szCs w:val="21"/>
              </w:rPr>
              <w:t>需要补充的其他内容</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10.1</w:t>
            </w:r>
          </w:p>
        </w:tc>
        <w:tc>
          <w:tcPr>
            <w:tcW w:w="362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编页码和小签</w:t>
            </w:r>
          </w:p>
        </w:tc>
        <w:tc>
          <w:tcPr>
            <w:tcW w:w="4132" w:type="dxa"/>
            <w:tcBorders>
              <w:top w:val="single" w:color="auto" w:sz="4" w:space="0"/>
              <w:left w:val="single" w:color="auto" w:sz="4" w:space="0"/>
              <w:bottom w:val="single" w:color="auto" w:sz="4" w:space="0"/>
              <w:right w:val="single" w:color="auto" w:sz="4" w:space="0"/>
            </w:tcBorders>
            <w:vAlign w:val="center"/>
          </w:tcPr>
          <w:p>
            <w:pPr>
              <w:spacing w:line="340" w:lineRule="exact"/>
              <w:ind w:firstLine="0" w:firstLineChars="0"/>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（1）投标文件从目录第一页开始连续、逐页编页码（包括无任何内容的页，但不包括封三、封四[封底]），位置：页面底端（正文以下空白处）。</w:t>
            </w:r>
          </w:p>
          <w:p>
            <w:pPr>
              <w:spacing w:line="340" w:lineRule="exact"/>
              <w:ind w:firstLine="0" w:firstLineChars="0"/>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（2）投标人应在编有页码的页面底端小签。小签可签全名，也可只签姓。</w:t>
            </w:r>
          </w:p>
          <w:p>
            <w:pPr>
              <w:spacing w:line="340" w:lineRule="exact"/>
              <w:ind w:firstLine="0" w:firstLineChars="0"/>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3）小签可由投标人的法定代表人进行，也可由法定代表人委托他人投标的委托代理人进行。小签应用不褪色的墨水或签字笔由本人亲笔手写签字，不得用盖章（如签名章、签字章等）代替，也不得由他人代签。</w:t>
            </w:r>
          </w:p>
          <w:p>
            <w:pPr>
              <w:spacing w:line="340" w:lineRule="exac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注：本条款不作为否决投标条件。</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w:t>
            </w:r>
          </w:p>
        </w:tc>
        <w:tc>
          <w:tcPr>
            <w:tcW w:w="362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报价唯一</w:t>
            </w:r>
          </w:p>
        </w:tc>
        <w:tc>
          <w:tcPr>
            <w:tcW w:w="413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只能有一个有效报价。即：</w:t>
            </w:r>
          </w:p>
          <w:p>
            <w:pPr>
              <w:spacing w:line="400" w:lineRule="exac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（1）单价和总价都只允许有一个报价，任何有选择和保留的报价将不予接受。</w:t>
            </w:r>
          </w:p>
          <w:p>
            <w:pPr>
              <w:spacing w:line="400" w:lineRule="exac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（2）开标记录表中记录的投标报价、投标文件中投标函的投标总报价（大写）和报价汇总表中的总价金额，三者应完全一致（按要求小数点后四舍五入的除外）。</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1"/>
                <w:szCs w:val="21"/>
              </w:rPr>
            </w:pPr>
          </w:p>
          <w:p>
            <w:pPr>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w:t>
            </w:r>
          </w:p>
        </w:tc>
        <w:tc>
          <w:tcPr>
            <w:tcW w:w="362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监督部门</w:t>
            </w:r>
          </w:p>
        </w:tc>
        <w:tc>
          <w:tcPr>
            <w:tcW w:w="4132" w:type="dxa"/>
            <w:tcBorders>
              <w:top w:val="single" w:color="auto" w:sz="4" w:space="0"/>
              <w:left w:val="single" w:color="auto" w:sz="4" w:space="0"/>
              <w:bottom w:val="single" w:color="auto" w:sz="4" w:space="0"/>
              <w:right w:val="single" w:color="auto" w:sz="4" w:space="0"/>
            </w:tcBorders>
          </w:tcPr>
          <w:p>
            <w:pPr>
              <w:spacing w:line="400" w:lineRule="exact"/>
              <w:ind w:firstLine="0" w:firstLineChars="0"/>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监督部门：</w:t>
            </w:r>
          </w:p>
          <w:p>
            <w:pPr>
              <w:spacing w:line="400" w:lineRule="exact"/>
              <w:ind w:firstLine="0" w:firstLineChars="0"/>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b/>
                <w:bCs/>
                <w:color w:val="FF0000"/>
                <w:sz w:val="21"/>
                <w:szCs w:val="21"/>
              </w:rPr>
              <w:t>兴蜀公司纪委办：028-85260881</w:t>
            </w:r>
          </w:p>
        </w:tc>
      </w:tr>
    </w:tbl>
    <w:p>
      <w:pPr>
        <w:spacing w:line="400" w:lineRule="exact"/>
        <w:ind w:firstLine="480"/>
        <w:rPr>
          <w:rFonts w:ascii="Times New Roman" w:hAnsi="Times New Roman"/>
        </w:rPr>
      </w:pPr>
      <w:r>
        <w:rPr>
          <w:rFonts w:ascii="Times New Roman" w:hAnsi="Times New Roman"/>
        </w:rPr>
        <w:br w:type="page"/>
      </w:r>
    </w:p>
    <w:p>
      <w:pPr>
        <w:pStyle w:val="6"/>
        <w:rPr>
          <w:rFonts w:ascii="Arial" w:hAnsi="Arial"/>
        </w:rPr>
      </w:pPr>
      <w:bookmarkStart w:id="45" w:name="_Toc13736"/>
      <w:r>
        <w:rPr>
          <w:rFonts w:hint="eastAsia" w:ascii="Arial" w:hAnsi="Arial"/>
        </w:rPr>
        <w:t>1. 总则</w:t>
      </w:r>
      <w:bookmarkEnd w:id="45"/>
    </w:p>
    <w:p>
      <w:pPr>
        <w:pStyle w:val="6"/>
        <w:ind w:firstLine="137"/>
        <w:rPr>
          <w:rFonts w:ascii="宋体" w:hAnsi="宋体" w:eastAsia="宋体" w:cs="宋体"/>
          <w:sz w:val="24"/>
          <w:szCs w:val="24"/>
        </w:rPr>
      </w:pPr>
      <w:bookmarkStart w:id="46" w:name="_Toc25024"/>
      <w:r>
        <w:rPr>
          <w:rFonts w:hint="eastAsia" w:ascii="宋体" w:hAnsi="宋体" w:eastAsia="宋体" w:cs="宋体"/>
          <w:sz w:val="24"/>
          <w:szCs w:val="24"/>
        </w:rPr>
        <w:t>1.1 招标项目概况</w:t>
      </w:r>
      <w:bookmarkEnd w:id="46"/>
    </w:p>
    <w:p>
      <w:pPr>
        <w:ind w:firstLine="480"/>
        <w:rPr>
          <w:rFonts w:ascii="宋体" w:hAnsi="宋体" w:cs="宋体"/>
          <w:szCs w:val="24"/>
        </w:rPr>
      </w:pPr>
      <w:r>
        <w:rPr>
          <w:rFonts w:hint="eastAsia" w:ascii="宋体" w:hAnsi="宋体" w:cs="宋体"/>
          <w:szCs w:val="24"/>
        </w:rPr>
        <w:t>1.1.1根据《中华人民共和国招标投标法》、《中华人民共和国招标投标法实施条例》等有关法律、法规和规章的规定，本招标项目已具备招标条件，现对设备采购进行招标。</w:t>
      </w:r>
    </w:p>
    <w:p>
      <w:pPr>
        <w:ind w:firstLine="480"/>
        <w:rPr>
          <w:rFonts w:ascii="宋体" w:hAnsi="宋体" w:cs="宋体"/>
          <w:szCs w:val="24"/>
        </w:rPr>
      </w:pPr>
      <w:r>
        <w:rPr>
          <w:rFonts w:hint="eastAsia" w:ascii="宋体" w:hAnsi="宋体" w:cs="宋体"/>
          <w:szCs w:val="24"/>
        </w:rPr>
        <w:t>1.1.2 招标人：见投标人须知前附表。</w:t>
      </w:r>
    </w:p>
    <w:p>
      <w:pPr>
        <w:ind w:firstLine="480"/>
        <w:rPr>
          <w:rFonts w:ascii="宋体" w:hAnsi="宋体" w:cs="宋体"/>
          <w:szCs w:val="24"/>
        </w:rPr>
      </w:pPr>
      <w:r>
        <w:rPr>
          <w:rFonts w:hint="eastAsia" w:ascii="宋体" w:hAnsi="宋体" w:cs="宋体"/>
          <w:szCs w:val="24"/>
        </w:rPr>
        <w:t>1.1.3 招标代理机构：见投标人须知前附表。</w:t>
      </w:r>
    </w:p>
    <w:p>
      <w:pPr>
        <w:ind w:firstLine="480"/>
        <w:rPr>
          <w:rFonts w:ascii="宋体" w:hAnsi="宋体" w:cs="宋体"/>
          <w:szCs w:val="24"/>
        </w:rPr>
      </w:pPr>
      <w:r>
        <w:rPr>
          <w:rFonts w:hint="eastAsia" w:ascii="宋体" w:hAnsi="宋体" w:cs="宋体"/>
          <w:szCs w:val="24"/>
        </w:rPr>
        <w:t>1.1.4招标项目名称：见投标人须知前附表。</w:t>
      </w:r>
    </w:p>
    <w:p>
      <w:pPr>
        <w:ind w:firstLine="480"/>
        <w:rPr>
          <w:rFonts w:ascii="宋体" w:hAnsi="宋体" w:cs="宋体"/>
          <w:szCs w:val="24"/>
        </w:rPr>
      </w:pPr>
      <w:r>
        <w:rPr>
          <w:rFonts w:hint="eastAsia" w:ascii="宋体" w:hAnsi="宋体" w:cs="宋体"/>
          <w:szCs w:val="24"/>
        </w:rPr>
        <w:t>1.1.5工程项目名称：即招标项目所属的工程建设项目，见投标人须知前附表。</w:t>
      </w:r>
    </w:p>
    <w:p>
      <w:pPr>
        <w:pStyle w:val="6"/>
        <w:ind w:firstLine="137"/>
        <w:rPr>
          <w:rFonts w:ascii="宋体" w:hAnsi="宋体" w:eastAsia="宋体" w:cs="宋体"/>
          <w:sz w:val="24"/>
          <w:szCs w:val="24"/>
        </w:rPr>
      </w:pPr>
      <w:bookmarkStart w:id="47" w:name="_Toc8780"/>
      <w:r>
        <w:rPr>
          <w:rFonts w:hint="eastAsia" w:ascii="宋体" w:hAnsi="宋体" w:eastAsia="宋体" w:cs="宋体"/>
          <w:sz w:val="24"/>
          <w:szCs w:val="24"/>
        </w:rPr>
        <w:t>1.2 招标项目的资金来源和落实情况</w:t>
      </w:r>
      <w:bookmarkEnd w:id="47"/>
    </w:p>
    <w:p>
      <w:pPr>
        <w:ind w:firstLine="480"/>
        <w:rPr>
          <w:rFonts w:ascii="宋体" w:hAnsi="宋体" w:cs="宋体"/>
          <w:szCs w:val="24"/>
        </w:rPr>
      </w:pPr>
      <w:r>
        <w:rPr>
          <w:rFonts w:hint="eastAsia" w:ascii="宋体" w:hAnsi="宋体" w:cs="宋体"/>
          <w:szCs w:val="24"/>
        </w:rPr>
        <w:t>1.2.1 资金来源及比例：见投标人须知前附表。</w:t>
      </w:r>
    </w:p>
    <w:p>
      <w:pPr>
        <w:ind w:firstLine="480"/>
        <w:rPr>
          <w:rFonts w:ascii="宋体" w:hAnsi="宋体" w:cs="宋体"/>
          <w:szCs w:val="24"/>
        </w:rPr>
      </w:pPr>
      <w:r>
        <w:rPr>
          <w:rFonts w:hint="eastAsia" w:ascii="宋体" w:hAnsi="宋体" w:cs="宋体"/>
          <w:szCs w:val="24"/>
        </w:rPr>
        <w:t>1.2.2 资金落实情况：见投标人须知前附表。</w:t>
      </w:r>
    </w:p>
    <w:p>
      <w:pPr>
        <w:pStyle w:val="6"/>
        <w:ind w:firstLine="137"/>
        <w:rPr>
          <w:rFonts w:ascii="宋体" w:hAnsi="宋体" w:eastAsia="宋体" w:cs="宋体"/>
          <w:sz w:val="24"/>
          <w:szCs w:val="24"/>
        </w:rPr>
      </w:pPr>
      <w:bookmarkStart w:id="48" w:name="_Toc31133"/>
      <w:r>
        <w:rPr>
          <w:rFonts w:hint="eastAsia" w:ascii="宋体" w:hAnsi="宋体" w:eastAsia="宋体" w:cs="宋体"/>
          <w:sz w:val="24"/>
          <w:szCs w:val="24"/>
        </w:rPr>
        <w:t>1.3招标范围、交货期、交货地点和技术性能指标</w:t>
      </w:r>
      <w:bookmarkEnd w:id="48"/>
    </w:p>
    <w:p>
      <w:pPr>
        <w:ind w:firstLine="480"/>
        <w:rPr>
          <w:rFonts w:ascii="宋体" w:hAnsi="宋体" w:cs="宋体"/>
          <w:szCs w:val="24"/>
        </w:rPr>
      </w:pPr>
      <w:r>
        <w:rPr>
          <w:rFonts w:hint="eastAsia" w:ascii="宋体" w:hAnsi="宋体" w:cs="宋体"/>
          <w:szCs w:val="24"/>
        </w:rPr>
        <w:t>1.3.1 招标范围：见投标人须知前附表。</w:t>
      </w:r>
    </w:p>
    <w:p>
      <w:pPr>
        <w:ind w:firstLine="480"/>
        <w:rPr>
          <w:rFonts w:ascii="宋体" w:hAnsi="宋体" w:cs="宋体"/>
          <w:szCs w:val="24"/>
        </w:rPr>
      </w:pPr>
      <w:r>
        <w:rPr>
          <w:rFonts w:hint="eastAsia" w:ascii="宋体" w:hAnsi="宋体" w:cs="宋体"/>
          <w:szCs w:val="24"/>
        </w:rPr>
        <w:t>1.3.2 交货期：见投标人须知前附表。</w:t>
      </w:r>
    </w:p>
    <w:p>
      <w:pPr>
        <w:ind w:firstLine="480"/>
        <w:rPr>
          <w:rFonts w:ascii="宋体" w:hAnsi="宋体" w:cs="宋体"/>
          <w:szCs w:val="24"/>
        </w:rPr>
      </w:pPr>
      <w:r>
        <w:rPr>
          <w:rFonts w:hint="eastAsia" w:ascii="宋体" w:hAnsi="宋体" w:cs="宋体"/>
          <w:szCs w:val="24"/>
        </w:rPr>
        <w:t>1.3.3 交货地点：见投标人须知前附表。</w:t>
      </w:r>
    </w:p>
    <w:p>
      <w:pPr>
        <w:ind w:firstLine="480"/>
        <w:rPr>
          <w:rFonts w:ascii="宋体" w:hAnsi="宋体" w:cs="宋体"/>
          <w:szCs w:val="24"/>
        </w:rPr>
      </w:pPr>
      <w:r>
        <w:rPr>
          <w:rFonts w:hint="eastAsia" w:ascii="宋体" w:hAnsi="宋体" w:cs="宋体"/>
          <w:szCs w:val="24"/>
        </w:rPr>
        <w:t>1.3.4 技术性能指标：见投标人须知前附表。</w:t>
      </w:r>
    </w:p>
    <w:p>
      <w:pPr>
        <w:pStyle w:val="6"/>
        <w:ind w:firstLine="137"/>
        <w:rPr>
          <w:rFonts w:ascii="宋体" w:hAnsi="宋体" w:eastAsia="宋体" w:cs="宋体"/>
          <w:sz w:val="24"/>
          <w:szCs w:val="24"/>
        </w:rPr>
      </w:pPr>
      <w:bookmarkStart w:id="49" w:name="_Toc12919"/>
      <w:r>
        <w:rPr>
          <w:rFonts w:hint="eastAsia" w:ascii="宋体" w:hAnsi="宋体" w:eastAsia="宋体" w:cs="宋体"/>
          <w:sz w:val="24"/>
          <w:szCs w:val="24"/>
        </w:rPr>
        <w:t>1.4投标人资格要求</w:t>
      </w:r>
      <w:bookmarkEnd w:id="49"/>
    </w:p>
    <w:p>
      <w:pPr>
        <w:ind w:firstLine="480"/>
        <w:rPr>
          <w:rFonts w:ascii="宋体" w:hAnsi="宋体" w:cs="宋体"/>
          <w:szCs w:val="24"/>
        </w:rPr>
      </w:pPr>
      <w:r>
        <w:rPr>
          <w:rFonts w:hint="eastAsia" w:ascii="宋体" w:hAnsi="宋体" w:cs="宋体"/>
          <w:szCs w:val="24"/>
        </w:rPr>
        <w:t>1.4.1 投标人应具备承担本招标项目资质条件、能力和信誉：</w:t>
      </w:r>
    </w:p>
    <w:p>
      <w:pPr>
        <w:ind w:firstLine="360" w:firstLineChars="150"/>
        <w:rPr>
          <w:rFonts w:ascii="宋体" w:hAnsi="宋体" w:cs="宋体"/>
          <w:szCs w:val="24"/>
        </w:rPr>
      </w:pPr>
      <w:r>
        <w:rPr>
          <w:rFonts w:hint="eastAsia" w:ascii="宋体" w:hAnsi="宋体" w:cs="宋体"/>
          <w:szCs w:val="24"/>
        </w:rPr>
        <w:t>（1）资质要求：见投标人须知前附表；</w:t>
      </w:r>
    </w:p>
    <w:p>
      <w:pPr>
        <w:ind w:firstLine="360" w:firstLineChars="150"/>
        <w:rPr>
          <w:rFonts w:ascii="宋体" w:hAnsi="宋体" w:cs="宋体"/>
          <w:szCs w:val="24"/>
        </w:rPr>
      </w:pPr>
      <w:r>
        <w:rPr>
          <w:rFonts w:hint="eastAsia" w:ascii="宋体" w:hAnsi="宋体" w:cs="宋体"/>
          <w:szCs w:val="24"/>
        </w:rPr>
        <w:t>（2）财务要求：见投标人须知前附表；</w:t>
      </w:r>
    </w:p>
    <w:p>
      <w:pPr>
        <w:ind w:firstLine="360" w:firstLineChars="150"/>
        <w:rPr>
          <w:rFonts w:ascii="宋体" w:hAnsi="宋体" w:cs="宋体"/>
          <w:szCs w:val="24"/>
        </w:rPr>
      </w:pPr>
      <w:r>
        <w:rPr>
          <w:rFonts w:hint="eastAsia" w:ascii="宋体" w:hAnsi="宋体" w:cs="宋体"/>
          <w:szCs w:val="24"/>
        </w:rPr>
        <w:t>（3）业绩要求：见投标人须知前附表；</w:t>
      </w:r>
    </w:p>
    <w:p>
      <w:pPr>
        <w:ind w:firstLine="360" w:firstLineChars="150"/>
        <w:rPr>
          <w:rFonts w:ascii="宋体" w:hAnsi="宋体" w:cs="宋体"/>
          <w:szCs w:val="24"/>
        </w:rPr>
      </w:pPr>
      <w:r>
        <w:rPr>
          <w:rFonts w:hint="eastAsia" w:ascii="宋体" w:hAnsi="宋体" w:cs="宋体"/>
          <w:szCs w:val="24"/>
        </w:rPr>
        <w:t>（4）信誉要求：见投标人须知前附表；</w:t>
      </w:r>
    </w:p>
    <w:p>
      <w:pPr>
        <w:ind w:firstLine="360" w:firstLineChars="150"/>
        <w:rPr>
          <w:rFonts w:ascii="宋体" w:hAnsi="宋体" w:cs="宋体"/>
          <w:szCs w:val="24"/>
        </w:rPr>
      </w:pPr>
      <w:r>
        <w:rPr>
          <w:rFonts w:hint="eastAsia" w:ascii="宋体" w:hAnsi="宋体" w:cs="宋体"/>
          <w:szCs w:val="24"/>
        </w:rPr>
        <w:t>（5）其他要求：见投标人须知前附表。</w:t>
      </w:r>
    </w:p>
    <w:p>
      <w:pPr>
        <w:ind w:firstLine="480"/>
        <w:rPr>
          <w:rFonts w:ascii="宋体" w:hAnsi="宋体" w:cs="宋体"/>
          <w:szCs w:val="24"/>
        </w:rPr>
      </w:pPr>
      <w:r>
        <w:rPr>
          <w:rFonts w:hint="eastAsia" w:ascii="宋体" w:hAnsi="宋体" w:cs="宋体"/>
          <w:szCs w:val="24"/>
        </w:rPr>
        <w:t>投标人为代理经销商的，对投标人的资质要求包含对制造商的资质要求，对投标人的业绩要求包含对投标设备的业绩要求。</w:t>
      </w:r>
    </w:p>
    <w:p>
      <w:pPr>
        <w:ind w:firstLine="480"/>
        <w:rPr>
          <w:rFonts w:ascii="宋体" w:hAnsi="宋体" w:cs="宋体"/>
          <w:szCs w:val="24"/>
        </w:rPr>
      </w:pPr>
      <w:r>
        <w:rPr>
          <w:rFonts w:hint="eastAsia" w:ascii="宋体" w:hAnsi="宋体" w:cs="宋体"/>
          <w:szCs w:val="24"/>
        </w:rPr>
        <w:t>需要提交的相关证明材料见本章第3.5款的规定。</w:t>
      </w:r>
    </w:p>
    <w:p>
      <w:pPr>
        <w:ind w:firstLine="480"/>
        <w:rPr>
          <w:rFonts w:ascii="宋体" w:hAnsi="宋体" w:cs="宋体"/>
          <w:szCs w:val="24"/>
        </w:rPr>
      </w:pPr>
      <w:r>
        <w:rPr>
          <w:rFonts w:hint="eastAsia" w:ascii="宋体" w:hAnsi="宋体" w:cs="宋体"/>
          <w:szCs w:val="24"/>
        </w:rPr>
        <w:t>1.4.2投标人须知前附表规定接受联合体投标的，联合体除应符合本章第1.4.1项和投标人须知前附表的要求外，还应遵守以下规定：</w:t>
      </w:r>
    </w:p>
    <w:p>
      <w:pPr>
        <w:ind w:firstLine="360" w:firstLineChars="150"/>
        <w:rPr>
          <w:rFonts w:ascii="宋体" w:hAnsi="宋体" w:cs="宋体"/>
          <w:szCs w:val="24"/>
        </w:rPr>
      </w:pPr>
      <w:r>
        <w:rPr>
          <w:rFonts w:hint="eastAsia" w:ascii="宋体" w:hAnsi="宋体" w:cs="宋体"/>
          <w:szCs w:val="24"/>
        </w:rPr>
        <w:t>（1）联合体各方应按招标文件提供的格式签订联合体协议书，明确联合体牵头人和各方权利义务，并承诺就中标项目向招标人承担连带责任；</w:t>
      </w:r>
    </w:p>
    <w:p>
      <w:pPr>
        <w:ind w:firstLine="360" w:firstLineChars="150"/>
        <w:rPr>
          <w:rFonts w:ascii="宋体" w:hAnsi="宋体" w:cs="宋体"/>
          <w:szCs w:val="24"/>
        </w:rPr>
      </w:pPr>
      <w:r>
        <w:rPr>
          <w:rFonts w:hint="eastAsia" w:ascii="宋体" w:hAnsi="宋体" w:cs="宋体"/>
          <w:szCs w:val="24"/>
        </w:rPr>
        <w:t>（2）由同一专业的单位组成的联合体，按照资质等级较低的单位确定资质等级；</w:t>
      </w:r>
    </w:p>
    <w:p>
      <w:pPr>
        <w:ind w:firstLine="360" w:firstLineChars="150"/>
        <w:rPr>
          <w:rFonts w:ascii="宋体" w:hAnsi="宋体" w:cs="宋体"/>
          <w:szCs w:val="24"/>
        </w:rPr>
      </w:pPr>
      <w:r>
        <w:rPr>
          <w:rFonts w:hint="eastAsia" w:ascii="宋体" w:hAnsi="宋体" w:cs="宋体"/>
          <w:szCs w:val="24"/>
        </w:rPr>
        <w:t>（3）联合体各方不得再以自己名义单独或参加其他联合体在本招标项目中投标，否则各相关投标均无效。</w:t>
      </w:r>
    </w:p>
    <w:p>
      <w:pPr>
        <w:ind w:firstLine="480"/>
        <w:rPr>
          <w:rFonts w:ascii="宋体" w:hAnsi="宋体" w:cs="宋体"/>
          <w:szCs w:val="24"/>
        </w:rPr>
      </w:pPr>
      <w:r>
        <w:rPr>
          <w:rFonts w:hint="eastAsia" w:ascii="宋体" w:hAnsi="宋体" w:cs="宋体"/>
          <w:szCs w:val="24"/>
        </w:rPr>
        <w:t>1.4.3 投标人不得存在下列情形之一：</w:t>
      </w:r>
    </w:p>
    <w:p>
      <w:pPr>
        <w:ind w:firstLine="480"/>
        <w:rPr>
          <w:rFonts w:ascii="宋体" w:hAnsi="宋体" w:cs="宋体"/>
          <w:szCs w:val="24"/>
        </w:rPr>
      </w:pPr>
      <w:r>
        <w:rPr>
          <w:rFonts w:hint="eastAsia" w:ascii="宋体" w:hAnsi="宋体" w:cs="宋体"/>
          <w:szCs w:val="24"/>
        </w:rPr>
        <w:t>（1）与招标人存在利害关系且可能影响招标公正性；</w:t>
      </w:r>
    </w:p>
    <w:p>
      <w:pPr>
        <w:ind w:firstLine="480"/>
        <w:rPr>
          <w:rFonts w:ascii="宋体" w:hAnsi="宋体" w:cs="宋体"/>
          <w:szCs w:val="24"/>
        </w:rPr>
      </w:pPr>
      <w:r>
        <w:rPr>
          <w:rFonts w:hint="eastAsia" w:ascii="宋体" w:hAnsi="宋体" w:cs="宋体"/>
          <w:szCs w:val="24"/>
        </w:rPr>
        <w:t>（2）与本招标项目的其他投标人为同一个单位负责人；</w:t>
      </w:r>
    </w:p>
    <w:p>
      <w:pPr>
        <w:ind w:firstLine="480"/>
        <w:rPr>
          <w:rFonts w:ascii="宋体" w:hAnsi="宋体" w:cs="宋体"/>
          <w:szCs w:val="24"/>
        </w:rPr>
      </w:pPr>
      <w:r>
        <w:rPr>
          <w:rFonts w:hint="eastAsia" w:ascii="宋体" w:hAnsi="宋体" w:cs="宋体"/>
          <w:szCs w:val="24"/>
        </w:rPr>
        <w:t>（3）与本招标项目的其他投标人存在控股、管理关系；</w:t>
      </w:r>
    </w:p>
    <w:p>
      <w:pPr>
        <w:ind w:firstLine="480"/>
        <w:rPr>
          <w:rFonts w:ascii="宋体" w:hAnsi="宋体" w:cs="宋体"/>
          <w:szCs w:val="24"/>
        </w:rPr>
      </w:pPr>
      <w:r>
        <w:rPr>
          <w:rFonts w:hint="eastAsia" w:ascii="宋体" w:hAnsi="宋体" w:cs="宋体"/>
          <w:szCs w:val="24"/>
        </w:rPr>
        <w:t>（4）与本招标项目其他投标人代理同一个制造商同一品牌同一型号的设备投标；</w:t>
      </w:r>
    </w:p>
    <w:p>
      <w:pPr>
        <w:ind w:firstLine="480"/>
        <w:rPr>
          <w:rFonts w:ascii="宋体" w:hAnsi="宋体" w:cs="宋体"/>
          <w:szCs w:val="24"/>
        </w:rPr>
      </w:pPr>
      <w:r>
        <w:rPr>
          <w:rFonts w:hint="eastAsia" w:ascii="宋体" w:hAnsi="宋体" w:cs="宋体"/>
          <w:szCs w:val="24"/>
        </w:rPr>
        <w:t>（5）为本招标项目提供过设计、编制技术规范和其他文件的咨询服务；</w:t>
      </w:r>
    </w:p>
    <w:p>
      <w:pPr>
        <w:ind w:firstLine="480"/>
        <w:rPr>
          <w:rFonts w:ascii="宋体" w:hAnsi="宋体" w:cs="宋体"/>
          <w:szCs w:val="24"/>
        </w:rPr>
      </w:pPr>
      <w:r>
        <w:rPr>
          <w:rFonts w:hint="eastAsia" w:ascii="宋体" w:hAnsi="宋体" w:cs="宋体"/>
          <w:szCs w:val="24"/>
        </w:rPr>
        <w:t>（6）为本工程项目的相关监理人，或者与本工程项目的相关监理人存在隶属关系或者其他利害关系；</w:t>
      </w:r>
    </w:p>
    <w:p>
      <w:pPr>
        <w:ind w:firstLine="480"/>
        <w:rPr>
          <w:rFonts w:ascii="宋体" w:hAnsi="宋体" w:cs="宋体"/>
          <w:szCs w:val="24"/>
        </w:rPr>
      </w:pPr>
      <w:r>
        <w:rPr>
          <w:rFonts w:hint="eastAsia" w:ascii="宋体" w:hAnsi="宋体" w:cs="宋体"/>
          <w:szCs w:val="24"/>
        </w:rPr>
        <w:t>（7）为本招标项目的代建人；</w:t>
      </w:r>
    </w:p>
    <w:p>
      <w:pPr>
        <w:ind w:firstLine="480"/>
        <w:rPr>
          <w:rFonts w:ascii="宋体" w:hAnsi="宋体" w:cs="宋体"/>
          <w:szCs w:val="24"/>
        </w:rPr>
      </w:pPr>
      <w:r>
        <w:rPr>
          <w:rFonts w:hint="eastAsia" w:ascii="宋体" w:hAnsi="宋体" w:cs="宋体"/>
          <w:szCs w:val="24"/>
        </w:rPr>
        <w:t>（8）为本招标项目的招标代理机构；</w:t>
      </w:r>
    </w:p>
    <w:p>
      <w:pPr>
        <w:ind w:firstLine="480"/>
        <w:rPr>
          <w:rFonts w:ascii="宋体" w:hAnsi="宋体" w:cs="宋体"/>
          <w:szCs w:val="24"/>
        </w:rPr>
      </w:pPr>
      <w:r>
        <w:rPr>
          <w:rFonts w:hint="eastAsia" w:ascii="宋体" w:hAnsi="宋体" w:cs="宋体"/>
          <w:szCs w:val="24"/>
        </w:rPr>
        <w:t>（9）与本招标项目的监理人或代建人或招标代理机构同为一个法定代表人；</w:t>
      </w:r>
    </w:p>
    <w:p>
      <w:pPr>
        <w:ind w:firstLine="480"/>
        <w:rPr>
          <w:rFonts w:ascii="宋体" w:hAnsi="宋体" w:cs="宋体"/>
          <w:szCs w:val="24"/>
        </w:rPr>
      </w:pPr>
      <w:r>
        <w:rPr>
          <w:rFonts w:hint="eastAsia" w:ascii="宋体" w:hAnsi="宋体" w:cs="宋体"/>
          <w:szCs w:val="24"/>
        </w:rPr>
        <w:t>（10）与本招标项目的监理人或代建人或招标代理机构存在控股或参股关系；</w:t>
      </w:r>
    </w:p>
    <w:p>
      <w:pPr>
        <w:ind w:firstLine="480"/>
        <w:rPr>
          <w:rFonts w:ascii="宋体" w:hAnsi="宋体" w:cs="宋体"/>
          <w:szCs w:val="24"/>
        </w:rPr>
      </w:pPr>
      <w:r>
        <w:rPr>
          <w:rFonts w:hint="eastAsia" w:ascii="宋体" w:hAnsi="宋体" w:cs="宋体"/>
          <w:szCs w:val="24"/>
        </w:rPr>
        <w:t>（11）被依法暂停或者取消投标资格；</w:t>
      </w:r>
    </w:p>
    <w:p>
      <w:pPr>
        <w:ind w:firstLine="480"/>
        <w:rPr>
          <w:rFonts w:ascii="宋体" w:hAnsi="宋体" w:cs="宋体"/>
          <w:szCs w:val="24"/>
        </w:rPr>
      </w:pPr>
      <w:r>
        <w:rPr>
          <w:rFonts w:hint="eastAsia" w:ascii="宋体" w:hAnsi="宋体" w:cs="宋体"/>
          <w:szCs w:val="24"/>
        </w:rPr>
        <w:t>（12）被责令停产停业、暂扣或者吊销许可证、暂扣或者吊销执照；</w:t>
      </w:r>
    </w:p>
    <w:p>
      <w:pPr>
        <w:ind w:firstLine="480"/>
        <w:rPr>
          <w:rFonts w:ascii="宋体" w:hAnsi="宋体" w:cs="宋体"/>
          <w:szCs w:val="24"/>
        </w:rPr>
      </w:pPr>
      <w:r>
        <w:rPr>
          <w:rFonts w:hint="eastAsia" w:ascii="宋体" w:hAnsi="宋体" w:cs="宋体"/>
          <w:szCs w:val="24"/>
        </w:rPr>
        <w:t>（13）进入清算程序，或被宣告破产，或其他丧失履约能力的情形；</w:t>
      </w:r>
    </w:p>
    <w:p>
      <w:pPr>
        <w:ind w:firstLine="480"/>
        <w:rPr>
          <w:rFonts w:ascii="宋体" w:hAnsi="宋体" w:cs="宋体"/>
          <w:szCs w:val="24"/>
        </w:rPr>
      </w:pPr>
      <w:r>
        <w:rPr>
          <w:rFonts w:hint="eastAsia" w:ascii="宋体" w:hAnsi="宋体" w:cs="宋体"/>
          <w:szCs w:val="24"/>
        </w:rPr>
        <w:t>（14）法律法规或投标人须知前附表规定的其他情形。</w:t>
      </w:r>
    </w:p>
    <w:p>
      <w:pPr>
        <w:pStyle w:val="6"/>
        <w:ind w:firstLine="137"/>
        <w:rPr>
          <w:rFonts w:ascii="宋体" w:hAnsi="宋体" w:eastAsia="宋体" w:cs="宋体"/>
          <w:sz w:val="24"/>
          <w:szCs w:val="24"/>
        </w:rPr>
      </w:pPr>
      <w:bookmarkStart w:id="50" w:name="_Toc28279"/>
      <w:r>
        <w:rPr>
          <w:rFonts w:hint="eastAsia" w:ascii="宋体" w:hAnsi="宋体" w:eastAsia="宋体" w:cs="宋体"/>
          <w:sz w:val="24"/>
          <w:szCs w:val="24"/>
        </w:rPr>
        <w:t>1.5 费用承担</w:t>
      </w:r>
      <w:bookmarkEnd w:id="50"/>
    </w:p>
    <w:p>
      <w:pPr>
        <w:ind w:firstLine="480"/>
        <w:rPr>
          <w:rFonts w:ascii="宋体" w:hAnsi="宋体" w:cs="宋体"/>
          <w:szCs w:val="24"/>
        </w:rPr>
      </w:pPr>
      <w:r>
        <w:rPr>
          <w:rFonts w:hint="eastAsia" w:ascii="宋体" w:hAnsi="宋体" w:cs="宋体"/>
          <w:szCs w:val="24"/>
        </w:rPr>
        <w:t>投标人准备和参加投标活动发生的费用自理。</w:t>
      </w:r>
    </w:p>
    <w:p>
      <w:pPr>
        <w:pStyle w:val="6"/>
        <w:ind w:firstLine="137"/>
        <w:rPr>
          <w:rFonts w:ascii="宋体" w:hAnsi="宋体" w:eastAsia="宋体" w:cs="宋体"/>
          <w:sz w:val="24"/>
          <w:szCs w:val="24"/>
        </w:rPr>
      </w:pPr>
      <w:bookmarkStart w:id="51" w:name="_Toc24066"/>
      <w:r>
        <w:rPr>
          <w:rFonts w:hint="eastAsia" w:ascii="宋体" w:hAnsi="宋体" w:eastAsia="宋体" w:cs="宋体"/>
          <w:sz w:val="24"/>
          <w:szCs w:val="24"/>
        </w:rPr>
        <w:t>1.6保密</w:t>
      </w:r>
      <w:bookmarkEnd w:id="51"/>
    </w:p>
    <w:p>
      <w:pPr>
        <w:ind w:firstLine="480"/>
        <w:rPr>
          <w:rFonts w:ascii="宋体" w:hAnsi="宋体" w:cs="宋体"/>
          <w:szCs w:val="24"/>
        </w:rPr>
      </w:pPr>
      <w:r>
        <w:rPr>
          <w:rFonts w:hint="eastAsia" w:ascii="宋体" w:hAnsi="宋体" w:cs="宋体"/>
          <w:szCs w:val="24"/>
        </w:rPr>
        <w:t>参与招标投标活动的各方应对招标文件和投标文件中</w:t>
      </w:r>
      <w:bookmarkStart w:id="52" w:name="_Toc369531519"/>
      <w:bookmarkStart w:id="53" w:name="_Toc384308214"/>
      <w:bookmarkStart w:id="54" w:name="_Toc361508589"/>
      <w:bookmarkStart w:id="55" w:name="_Toc352691477"/>
      <w:bookmarkStart w:id="56" w:name="_Toc5326"/>
      <w:r>
        <w:rPr>
          <w:rFonts w:hint="eastAsia" w:ascii="宋体" w:hAnsi="宋体" w:cs="宋体"/>
          <w:szCs w:val="24"/>
        </w:rPr>
        <w:t>的商业和技术等秘密保密</w:t>
      </w:r>
      <w:bookmarkEnd w:id="52"/>
      <w:bookmarkEnd w:id="53"/>
      <w:bookmarkEnd w:id="54"/>
      <w:bookmarkEnd w:id="55"/>
      <w:bookmarkEnd w:id="56"/>
      <w:r>
        <w:rPr>
          <w:rFonts w:hint="eastAsia" w:ascii="宋体" w:hAnsi="宋体" w:cs="宋体"/>
          <w:szCs w:val="24"/>
        </w:rPr>
        <w:t>，否则应承担相应的法律责任。</w:t>
      </w:r>
    </w:p>
    <w:p>
      <w:pPr>
        <w:pStyle w:val="6"/>
        <w:ind w:firstLine="137"/>
        <w:rPr>
          <w:rFonts w:ascii="宋体" w:hAnsi="宋体" w:eastAsia="宋体" w:cs="宋体"/>
          <w:sz w:val="24"/>
          <w:szCs w:val="24"/>
        </w:rPr>
      </w:pPr>
      <w:bookmarkStart w:id="57" w:name="_Toc24366"/>
      <w:r>
        <w:rPr>
          <w:rFonts w:hint="eastAsia" w:ascii="宋体" w:hAnsi="宋体" w:eastAsia="宋体" w:cs="宋体"/>
          <w:sz w:val="24"/>
          <w:szCs w:val="24"/>
        </w:rPr>
        <w:t>1.7 语言文字</w:t>
      </w:r>
      <w:bookmarkEnd w:id="57"/>
    </w:p>
    <w:p>
      <w:pPr>
        <w:ind w:firstLine="480"/>
        <w:rPr>
          <w:rFonts w:ascii="宋体" w:hAnsi="宋体" w:cs="宋体"/>
          <w:szCs w:val="24"/>
        </w:rPr>
      </w:pPr>
      <w:r>
        <w:rPr>
          <w:rFonts w:hint="eastAsia" w:ascii="宋体" w:hAnsi="宋体" w:cs="宋体"/>
          <w:szCs w:val="24"/>
        </w:rPr>
        <w:t>招标投标文件使用的语言文字为中文。专用术语使用外文的，应附有中文注释。</w:t>
      </w:r>
    </w:p>
    <w:p>
      <w:pPr>
        <w:pStyle w:val="6"/>
        <w:ind w:firstLine="137"/>
        <w:rPr>
          <w:rFonts w:ascii="宋体" w:hAnsi="宋体" w:eastAsia="宋体" w:cs="宋体"/>
          <w:sz w:val="24"/>
          <w:szCs w:val="24"/>
        </w:rPr>
      </w:pPr>
      <w:bookmarkStart w:id="58" w:name="_Toc31989"/>
      <w:r>
        <w:rPr>
          <w:rFonts w:hint="eastAsia" w:ascii="宋体" w:hAnsi="宋体" w:eastAsia="宋体" w:cs="宋体"/>
          <w:sz w:val="24"/>
          <w:szCs w:val="24"/>
        </w:rPr>
        <w:t>1.8计量单位</w:t>
      </w:r>
      <w:bookmarkEnd w:id="58"/>
    </w:p>
    <w:p>
      <w:pPr>
        <w:ind w:firstLine="480"/>
        <w:rPr>
          <w:rFonts w:ascii="宋体" w:hAnsi="宋体" w:cs="宋体"/>
          <w:szCs w:val="24"/>
        </w:rPr>
      </w:pPr>
      <w:r>
        <w:rPr>
          <w:rFonts w:hint="eastAsia" w:ascii="宋体" w:hAnsi="宋体" w:cs="宋体"/>
          <w:szCs w:val="24"/>
        </w:rPr>
        <w:t>所有计量均采用中华人民共和国法定计量单位。</w:t>
      </w:r>
    </w:p>
    <w:p>
      <w:pPr>
        <w:pStyle w:val="6"/>
        <w:ind w:firstLine="137"/>
        <w:rPr>
          <w:rFonts w:ascii="宋体" w:hAnsi="宋体" w:eastAsia="宋体" w:cs="宋体"/>
          <w:sz w:val="24"/>
          <w:szCs w:val="24"/>
        </w:rPr>
      </w:pPr>
      <w:bookmarkStart w:id="59" w:name="_Toc29566"/>
      <w:r>
        <w:rPr>
          <w:rFonts w:hint="eastAsia" w:ascii="宋体" w:hAnsi="宋体" w:eastAsia="宋体" w:cs="宋体"/>
          <w:sz w:val="24"/>
          <w:szCs w:val="24"/>
        </w:rPr>
        <w:t>1.9 分包</w:t>
      </w:r>
      <w:bookmarkEnd w:id="59"/>
    </w:p>
    <w:p>
      <w:pPr>
        <w:ind w:firstLine="480"/>
        <w:rPr>
          <w:rFonts w:ascii="宋体" w:hAnsi="宋体" w:cs="宋体"/>
          <w:szCs w:val="24"/>
        </w:rPr>
      </w:pPr>
      <w:r>
        <w:rPr>
          <w:rFonts w:hint="eastAsia" w:ascii="宋体" w:hAnsi="宋体" w:cs="宋体"/>
          <w:szCs w:val="24"/>
        </w:rPr>
        <w:t xml:space="preserve">1.9.1 投标人拟在中标后将中标项目的非主体设备进行分包的，应符合投标人须知前附表规定的分包内容、分包金额和资质要求等限制性条件，除投标人须知前附表规定的非主体设备外，其他工作不得分包。 </w:t>
      </w:r>
    </w:p>
    <w:p>
      <w:pPr>
        <w:ind w:firstLine="480"/>
        <w:rPr>
          <w:rFonts w:ascii="宋体" w:hAnsi="宋体" w:cs="宋体"/>
          <w:szCs w:val="24"/>
        </w:rPr>
      </w:pPr>
      <w:r>
        <w:rPr>
          <w:rFonts w:hint="eastAsia" w:ascii="宋体" w:hAnsi="宋体" w:cs="宋体"/>
          <w:szCs w:val="24"/>
        </w:rPr>
        <w:t>1.9.2中标人不得向他人转让中标项目，接受分包的人不得再次分包。中标人应当就分包项目向招标人负责，接受分包的人就分包项目承担连带责任。</w:t>
      </w:r>
    </w:p>
    <w:p>
      <w:pPr>
        <w:pStyle w:val="6"/>
        <w:ind w:firstLine="137"/>
        <w:rPr>
          <w:rFonts w:ascii="宋体" w:hAnsi="宋体" w:eastAsia="宋体" w:cs="宋体"/>
          <w:sz w:val="24"/>
          <w:szCs w:val="24"/>
        </w:rPr>
      </w:pPr>
      <w:bookmarkStart w:id="60" w:name="_Toc14210"/>
      <w:r>
        <w:rPr>
          <w:rFonts w:hint="eastAsia" w:ascii="宋体" w:hAnsi="宋体" w:eastAsia="宋体" w:cs="宋体"/>
          <w:sz w:val="24"/>
          <w:szCs w:val="24"/>
        </w:rPr>
        <w:t>1.11响应和偏差</w:t>
      </w:r>
      <w:bookmarkEnd w:id="60"/>
    </w:p>
    <w:p>
      <w:pPr>
        <w:ind w:firstLine="480"/>
        <w:rPr>
          <w:rFonts w:ascii="宋体" w:hAnsi="宋体" w:cs="宋体"/>
          <w:szCs w:val="24"/>
        </w:rPr>
      </w:pPr>
      <w:r>
        <w:rPr>
          <w:rFonts w:hint="eastAsia" w:ascii="宋体" w:hAnsi="宋体" w:cs="宋体"/>
          <w:szCs w:val="24"/>
        </w:rPr>
        <w:t>1.10.1投标文件应当对招标文件的实质性要求和条件作出满足性或更有利于招标人的响应，否则，投标人的投标将被否决。实质性要求和条件见投标人须知前附表。</w:t>
      </w:r>
    </w:p>
    <w:p>
      <w:pPr>
        <w:ind w:firstLine="480"/>
        <w:rPr>
          <w:rFonts w:ascii="宋体" w:hAnsi="宋体" w:cs="宋体"/>
          <w:szCs w:val="24"/>
        </w:rPr>
      </w:pPr>
      <w:r>
        <w:rPr>
          <w:rFonts w:hint="eastAsia" w:ascii="宋体" w:hAnsi="宋体" w:cs="宋体"/>
          <w:szCs w:val="24"/>
        </w:rPr>
        <w:t>1.10.2 投标人应根据招标文件的要求提供投标设备技术性能指标的详细描述、技术支持资料及技术服务和质保期服务计划等内容以对招标文件作出响应。</w:t>
      </w:r>
    </w:p>
    <w:p>
      <w:pPr>
        <w:ind w:firstLine="480"/>
        <w:rPr>
          <w:rFonts w:ascii="宋体" w:hAnsi="宋体" w:cs="宋体"/>
          <w:szCs w:val="24"/>
        </w:rPr>
      </w:pPr>
      <w:r>
        <w:rPr>
          <w:rFonts w:hint="eastAsia" w:ascii="宋体" w:hAnsi="宋体" w:cs="宋体"/>
          <w:szCs w:val="24"/>
        </w:rPr>
        <w:t>1.10.3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ind w:firstLine="480"/>
        <w:rPr>
          <w:rFonts w:ascii="宋体" w:hAnsi="宋体" w:cs="宋体"/>
          <w:szCs w:val="24"/>
        </w:rPr>
      </w:pPr>
      <w:r>
        <w:rPr>
          <w:rFonts w:hint="eastAsia" w:ascii="宋体" w:hAnsi="宋体" w:cs="宋体"/>
          <w:szCs w:val="24"/>
        </w:rPr>
        <w:t>1.10.4 投标人须知前附表规定了可以偏差的范围和最高偏差项数的，偏差应当符合投标人须知前附表规定的偏差范围和最高项数，超出偏差范围和最高偏差项数的投标将被否决。</w:t>
      </w:r>
    </w:p>
    <w:p>
      <w:pPr>
        <w:ind w:firstLine="480"/>
        <w:rPr>
          <w:rFonts w:ascii="宋体" w:hAnsi="宋体" w:cs="宋体"/>
          <w:szCs w:val="24"/>
        </w:rPr>
      </w:pPr>
      <w:r>
        <w:rPr>
          <w:rFonts w:hint="eastAsia" w:ascii="宋体" w:hAnsi="宋体" w:cs="宋体"/>
          <w:szCs w:val="24"/>
        </w:rPr>
        <w:t>1.10.5 投标文件对招标文件的全部偏差，均应在投标文件的商务和技术偏差表中列明，除列明的内容外，视为投标人响应招标文件的全部要求。</w:t>
      </w:r>
    </w:p>
    <w:p>
      <w:pPr>
        <w:pStyle w:val="6"/>
        <w:rPr>
          <w:rFonts w:ascii="Arial" w:hAnsi="Arial"/>
        </w:rPr>
      </w:pPr>
      <w:bookmarkStart w:id="61" w:name="_Toc4829"/>
      <w:r>
        <w:rPr>
          <w:rFonts w:hint="eastAsia" w:ascii="Arial" w:hAnsi="Arial"/>
        </w:rPr>
        <w:t>2. 招标文件</w:t>
      </w:r>
      <w:bookmarkEnd w:id="61"/>
    </w:p>
    <w:p>
      <w:pPr>
        <w:pStyle w:val="6"/>
        <w:ind w:firstLine="137"/>
        <w:rPr>
          <w:rFonts w:ascii="宋体" w:hAnsi="宋体" w:eastAsia="宋体" w:cs="宋体"/>
          <w:sz w:val="24"/>
          <w:szCs w:val="24"/>
        </w:rPr>
      </w:pPr>
      <w:bookmarkStart w:id="62" w:name="_Toc29578"/>
      <w:r>
        <w:rPr>
          <w:rFonts w:hint="eastAsia" w:ascii="宋体" w:hAnsi="宋体" w:eastAsia="宋体" w:cs="宋体"/>
          <w:sz w:val="24"/>
          <w:szCs w:val="24"/>
        </w:rPr>
        <w:t>2.1 招标文件的组成</w:t>
      </w:r>
      <w:bookmarkEnd w:id="62"/>
    </w:p>
    <w:p>
      <w:pPr>
        <w:ind w:firstLine="410" w:firstLineChars="171"/>
        <w:rPr>
          <w:rFonts w:ascii="宋体" w:hAnsi="宋体" w:cs="宋体"/>
          <w:szCs w:val="24"/>
        </w:rPr>
      </w:pPr>
      <w:r>
        <w:rPr>
          <w:rFonts w:hint="eastAsia" w:ascii="宋体" w:hAnsi="宋体" w:cs="宋体"/>
          <w:szCs w:val="24"/>
        </w:rPr>
        <w:t>本招标文件包括：</w:t>
      </w:r>
    </w:p>
    <w:p>
      <w:pPr>
        <w:ind w:firstLine="410" w:firstLineChars="171"/>
        <w:rPr>
          <w:rFonts w:ascii="宋体" w:hAnsi="宋体" w:cs="宋体"/>
          <w:szCs w:val="24"/>
        </w:rPr>
      </w:pPr>
      <w:r>
        <w:rPr>
          <w:rFonts w:hint="eastAsia" w:ascii="宋体" w:hAnsi="宋体" w:cs="宋体"/>
          <w:szCs w:val="24"/>
        </w:rPr>
        <w:t>（1）招标公告（或投标邀请书）；</w:t>
      </w:r>
    </w:p>
    <w:p>
      <w:pPr>
        <w:ind w:firstLine="410" w:firstLineChars="171"/>
        <w:rPr>
          <w:rFonts w:ascii="宋体" w:hAnsi="宋体" w:cs="宋体"/>
          <w:szCs w:val="24"/>
        </w:rPr>
      </w:pPr>
      <w:r>
        <w:rPr>
          <w:rFonts w:hint="eastAsia" w:ascii="宋体" w:hAnsi="宋体" w:cs="宋体"/>
          <w:szCs w:val="24"/>
        </w:rPr>
        <w:t>（2）投标人须知；</w:t>
      </w:r>
    </w:p>
    <w:p>
      <w:pPr>
        <w:ind w:firstLine="410" w:firstLineChars="171"/>
        <w:rPr>
          <w:rFonts w:ascii="宋体" w:hAnsi="宋体" w:cs="宋体"/>
          <w:szCs w:val="24"/>
        </w:rPr>
      </w:pPr>
      <w:r>
        <w:rPr>
          <w:rFonts w:hint="eastAsia" w:ascii="宋体" w:hAnsi="宋体" w:cs="宋体"/>
          <w:szCs w:val="24"/>
        </w:rPr>
        <w:t>（3）评标办法；</w:t>
      </w:r>
    </w:p>
    <w:p>
      <w:pPr>
        <w:ind w:firstLine="410" w:firstLineChars="171"/>
        <w:rPr>
          <w:rFonts w:ascii="宋体" w:hAnsi="宋体" w:cs="宋体"/>
          <w:szCs w:val="24"/>
        </w:rPr>
      </w:pPr>
      <w:r>
        <w:rPr>
          <w:rFonts w:hint="eastAsia" w:ascii="宋体" w:hAnsi="宋体" w:cs="宋体"/>
          <w:szCs w:val="24"/>
        </w:rPr>
        <w:t>（4）合同条款及格式；</w:t>
      </w:r>
    </w:p>
    <w:p>
      <w:pPr>
        <w:ind w:firstLine="410" w:firstLineChars="171"/>
        <w:rPr>
          <w:rFonts w:ascii="宋体" w:hAnsi="宋体" w:cs="宋体"/>
          <w:szCs w:val="24"/>
        </w:rPr>
      </w:pPr>
      <w:r>
        <w:rPr>
          <w:rFonts w:hint="eastAsia" w:ascii="宋体" w:hAnsi="宋体" w:cs="宋体"/>
          <w:szCs w:val="24"/>
        </w:rPr>
        <w:t>（5）供货要求；</w:t>
      </w:r>
    </w:p>
    <w:p>
      <w:pPr>
        <w:ind w:firstLine="410" w:firstLineChars="171"/>
        <w:rPr>
          <w:rFonts w:ascii="宋体" w:hAnsi="宋体" w:cs="宋体"/>
          <w:szCs w:val="24"/>
        </w:rPr>
      </w:pPr>
      <w:r>
        <w:rPr>
          <w:rFonts w:hint="eastAsia" w:ascii="宋体" w:hAnsi="宋体" w:cs="宋体"/>
          <w:szCs w:val="24"/>
        </w:rPr>
        <w:t>（6）投标文件格式；</w:t>
      </w:r>
    </w:p>
    <w:p>
      <w:pPr>
        <w:ind w:firstLine="410" w:firstLineChars="171"/>
        <w:rPr>
          <w:rFonts w:ascii="宋体" w:hAnsi="宋体" w:cs="宋体"/>
          <w:szCs w:val="24"/>
        </w:rPr>
      </w:pPr>
      <w:r>
        <w:rPr>
          <w:rFonts w:hint="eastAsia" w:ascii="宋体" w:hAnsi="宋体" w:cs="宋体"/>
          <w:szCs w:val="24"/>
        </w:rPr>
        <w:t>（7）投标人须知前附表规定的其他资料。</w:t>
      </w:r>
    </w:p>
    <w:p>
      <w:pPr>
        <w:ind w:firstLine="480"/>
        <w:rPr>
          <w:rFonts w:ascii="宋体" w:hAnsi="宋体" w:cs="宋体"/>
          <w:szCs w:val="24"/>
        </w:rPr>
      </w:pPr>
      <w:r>
        <w:rPr>
          <w:rFonts w:hint="eastAsia" w:ascii="宋体" w:hAnsi="宋体" w:cs="宋体"/>
          <w:szCs w:val="24"/>
        </w:rPr>
        <w:t>根据本章第1.9款、第2.2款和第2.3款对招标文件所作的澄清、修改，构成招标文件的组成部分。</w:t>
      </w:r>
    </w:p>
    <w:p>
      <w:pPr>
        <w:pStyle w:val="6"/>
        <w:ind w:firstLine="137"/>
        <w:rPr>
          <w:rFonts w:ascii="宋体" w:hAnsi="宋体" w:eastAsia="宋体" w:cs="宋体"/>
          <w:sz w:val="24"/>
          <w:szCs w:val="24"/>
        </w:rPr>
      </w:pPr>
      <w:bookmarkStart w:id="63" w:name="_Toc32374"/>
      <w:bookmarkStart w:id="64" w:name="_Toc485303289"/>
      <w:bookmarkStart w:id="65" w:name="_Toc300834960"/>
      <w:bookmarkStart w:id="66" w:name="_Toc247527564"/>
      <w:bookmarkStart w:id="67" w:name="_Toc144974508"/>
      <w:bookmarkStart w:id="68" w:name="_Toc16623"/>
      <w:bookmarkStart w:id="69" w:name="_Toc361508595"/>
      <w:bookmarkStart w:id="70" w:name="_Toc352691484"/>
      <w:bookmarkStart w:id="71" w:name="_Toc384308220"/>
      <w:bookmarkStart w:id="72" w:name="_Toc369531526"/>
      <w:bookmarkStart w:id="73" w:name="_Toc152042316"/>
      <w:bookmarkStart w:id="74" w:name="_Toc247513963"/>
      <w:bookmarkStart w:id="75" w:name="_Toc152045540"/>
      <w:r>
        <w:rPr>
          <w:rFonts w:hint="eastAsia" w:ascii="宋体" w:hAnsi="宋体" w:eastAsia="宋体" w:cs="宋体"/>
          <w:sz w:val="24"/>
          <w:szCs w:val="24"/>
        </w:rPr>
        <w:t>2.2 招标文件的澄清</w:t>
      </w:r>
      <w:bookmarkEnd w:id="63"/>
      <w:bookmarkEnd w:id="64"/>
    </w:p>
    <w:p>
      <w:pPr>
        <w:ind w:firstLine="480"/>
        <w:rPr>
          <w:rFonts w:ascii="宋体" w:hAnsi="宋体" w:cs="宋体"/>
          <w:szCs w:val="24"/>
        </w:rPr>
      </w:pPr>
      <w:bookmarkStart w:id="76" w:name="_Toc485303290"/>
      <w:bookmarkStart w:id="77" w:name="_Toc352691479"/>
      <w:r>
        <w:rPr>
          <w:rFonts w:hint="eastAsia" w:ascii="宋体" w:hAnsi="宋体" w:cs="宋体"/>
          <w:szCs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firstLine="480"/>
        <w:rPr>
          <w:rFonts w:ascii="宋体" w:hAnsi="宋体" w:cs="宋体"/>
          <w:szCs w:val="24"/>
        </w:rPr>
      </w:pPr>
      <w:r>
        <w:rPr>
          <w:rFonts w:hint="eastAsia" w:ascii="宋体" w:hAnsi="宋体" w:cs="宋体"/>
          <w:szCs w:val="24"/>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ind w:firstLine="480"/>
        <w:rPr>
          <w:rFonts w:ascii="宋体" w:hAnsi="宋体" w:cs="宋体"/>
          <w:szCs w:val="24"/>
        </w:rPr>
      </w:pPr>
      <w:r>
        <w:rPr>
          <w:rFonts w:hint="eastAsia" w:ascii="宋体" w:hAnsi="宋体" w:cs="宋体"/>
          <w:szCs w:val="24"/>
        </w:rPr>
        <w:t>2.2.3 投标人在收到澄清后，应按投标人须知前附表规定的时间和形式通知招标人，确认已收到该澄清。</w:t>
      </w:r>
    </w:p>
    <w:p>
      <w:pPr>
        <w:ind w:firstLine="480"/>
        <w:rPr>
          <w:rFonts w:ascii="宋体" w:hAnsi="宋体" w:cs="宋体"/>
          <w:szCs w:val="24"/>
        </w:rPr>
      </w:pPr>
      <w:r>
        <w:rPr>
          <w:rFonts w:hint="eastAsia" w:ascii="宋体" w:hAnsi="宋体" w:cs="宋体"/>
          <w:szCs w:val="24"/>
        </w:rPr>
        <w:t>2.2.4 除非招标人认为确有必要答复，否则，招标人有权拒绝回复投标人在本章第2.2.1项规定的时间后的任何澄清要求。</w:t>
      </w:r>
    </w:p>
    <w:p>
      <w:pPr>
        <w:pStyle w:val="6"/>
        <w:ind w:firstLine="137"/>
        <w:rPr>
          <w:rFonts w:ascii="宋体" w:hAnsi="宋体" w:eastAsia="宋体" w:cs="宋体"/>
          <w:sz w:val="24"/>
          <w:szCs w:val="24"/>
        </w:rPr>
      </w:pPr>
      <w:bookmarkStart w:id="78" w:name="_Toc1870"/>
      <w:r>
        <w:rPr>
          <w:rFonts w:hint="eastAsia" w:ascii="宋体" w:hAnsi="宋体" w:eastAsia="宋体" w:cs="宋体"/>
          <w:sz w:val="24"/>
          <w:szCs w:val="24"/>
        </w:rPr>
        <w:t>2.3 招标文件的修</w:t>
      </w:r>
      <w:bookmarkStart w:id="79" w:name="_Toc369531521"/>
      <w:bookmarkStart w:id="80" w:name="_Toc16514"/>
      <w:r>
        <w:rPr>
          <w:rFonts w:hint="eastAsia" w:ascii="宋体" w:hAnsi="宋体" w:eastAsia="宋体" w:cs="宋体"/>
          <w:sz w:val="24"/>
          <w:szCs w:val="24"/>
        </w:rPr>
        <w:t>改</w:t>
      </w:r>
      <w:bookmarkEnd w:id="76"/>
      <w:bookmarkEnd w:id="78"/>
    </w:p>
    <w:bookmarkEnd w:id="77"/>
    <w:bookmarkEnd w:id="79"/>
    <w:bookmarkEnd w:id="80"/>
    <w:p>
      <w:pPr>
        <w:ind w:firstLine="480"/>
        <w:rPr>
          <w:rFonts w:ascii="宋体" w:hAnsi="宋体" w:cs="宋体"/>
          <w:szCs w:val="24"/>
        </w:rPr>
      </w:pPr>
      <w:r>
        <w:rPr>
          <w:rFonts w:hint="eastAsia" w:ascii="宋体" w:hAnsi="宋体" w:cs="宋体"/>
          <w:szCs w:val="24"/>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ind w:firstLine="480"/>
        <w:rPr>
          <w:rFonts w:ascii="宋体" w:hAnsi="宋体" w:cs="宋体"/>
          <w:szCs w:val="24"/>
        </w:rPr>
      </w:pPr>
      <w:r>
        <w:rPr>
          <w:rFonts w:hint="eastAsia" w:ascii="宋体" w:hAnsi="宋体" w:cs="宋体"/>
          <w:szCs w:val="24"/>
        </w:rPr>
        <w:t>2.3.2 投标人收到修改内容</w:t>
      </w:r>
      <w:bookmarkStart w:id="81" w:name="_Toc300834958"/>
      <w:bookmarkStart w:id="82" w:name="_Toc152045538"/>
      <w:bookmarkStart w:id="83" w:name="_Toc24632"/>
      <w:bookmarkStart w:id="84" w:name="_Toc384308218"/>
      <w:bookmarkStart w:id="85" w:name="_Toc352691482"/>
      <w:bookmarkStart w:id="86" w:name="_Toc144974506"/>
      <w:bookmarkStart w:id="87" w:name="_Toc247527562"/>
      <w:bookmarkStart w:id="88" w:name="_Toc152042314"/>
      <w:bookmarkStart w:id="89" w:name="_Toc361508593"/>
      <w:bookmarkStart w:id="90" w:name="_Toc369531524"/>
      <w:bookmarkStart w:id="91" w:name="_Toc247513961"/>
      <w:r>
        <w:rPr>
          <w:rFonts w:hint="eastAsia" w:ascii="宋体" w:hAnsi="宋体" w:cs="宋体"/>
          <w:szCs w:val="24"/>
        </w:rPr>
        <w:t>后，</w:t>
      </w:r>
      <w:bookmarkEnd w:id="81"/>
      <w:bookmarkEnd w:id="82"/>
      <w:bookmarkEnd w:id="83"/>
      <w:bookmarkEnd w:id="84"/>
      <w:bookmarkEnd w:id="85"/>
      <w:bookmarkEnd w:id="86"/>
      <w:bookmarkEnd w:id="87"/>
      <w:bookmarkEnd w:id="88"/>
      <w:bookmarkEnd w:id="89"/>
      <w:bookmarkEnd w:id="90"/>
      <w:bookmarkEnd w:id="91"/>
      <w:r>
        <w:rPr>
          <w:rFonts w:hint="eastAsia" w:ascii="宋体" w:hAnsi="宋体" w:cs="宋体"/>
          <w:szCs w:val="24"/>
        </w:rPr>
        <w:t>应按投标人须知前附表规定的时间和形式通知招标人，确认已收到该修改。</w:t>
      </w:r>
    </w:p>
    <w:p>
      <w:pPr>
        <w:pStyle w:val="6"/>
        <w:ind w:firstLine="137"/>
        <w:rPr>
          <w:rFonts w:ascii="宋体" w:hAnsi="宋体" w:eastAsia="宋体" w:cs="宋体"/>
          <w:sz w:val="24"/>
          <w:szCs w:val="24"/>
        </w:rPr>
      </w:pPr>
      <w:bookmarkStart w:id="92" w:name="_Toc7842"/>
      <w:r>
        <w:rPr>
          <w:rFonts w:hint="eastAsia" w:ascii="宋体" w:hAnsi="宋体" w:eastAsia="宋体" w:cs="宋体"/>
          <w:sz w:val="24"/>
          <w:szCs w:val="24"/>
        </w:rPr>
        <w:t>2.</w:t>
      </w:r>
      <w:bookmarkEnd w:id="65"/>
      <w:bookmarkEnd w:id="66"/>
      <w:bookmarkEnd w:id="67"/>
      <w:bookmarkEnd w:id="68"/>
      <w:bookmarkEnd w:id="69"/>
      <w:bookmarkEnd w:id="70"/>
      <w:bookmarkEnd w:id="71"/>
      <w:bookmarkEnd w:id="72"/>
      <w:bookmarkEnd w:id="73"/>
      <w:bookmarkEnd w:id="74"/>
      <w:bookmarkEnd w:id="75"/>
      <w:r>
        <w:rPr>
          <w:rFonts w:hint="eastAsia" w:ascii="宋体" w:hAnsi="宋体" w:eastAsia="宋体" w:cs="宋体"/>
          <w:sz w:val="24"/>
          <w:szCs w:val="24"/>
        </w:rPr>
        <w:t>4 招标文件的异议</w:t>
      </w:r>
      <w:bookmarkEnd w:id="92"/>
    </w:p>
    <w:p>
      <w:pPr>
        <w:ind w:firstLine="480"/>
        <w:rPr>
          <w:rFonts w:ascii="宋体" w:hAnsi="宋体" w:cs="宋体"/>
          <w:szCs w:val="24"/>
        </w:rPr>
      </w:pPr>
      <w:r>
        <w:rPr>
          <w:rFonts w:hint="eastAsia" w:ascii="宋体" w:hAnsi="宋体" w:cs="宋体"/>
          <w:szCs w:val="24"/>
        </w:rPr>
        <w:t>投标人或者其他利害关系人对招标文件有异议的，应当在投标截止时间10日前以书面形式提出。招标人将在收到异议之日起3日内作出答复；作出答复前，将暂停招标投标活动。</w:t>
      </w:r>
    </w:p>
    <w:p>
      <w:pPr>
        <w:pStyle w:val="6"/>
        <w:rPr>
          <w:rFonts w:ascii="Arial" w:hAnsi="Arial"/>
        </w:rPr>
      </w:pPr>
      <w:bookmarkStart w:id="93" w:name="_Toc30464"/>
      <w:r>
        <w:rPr>
          <w:rFonts w:hint="eastAsia" w:ascii="Arial" w:hAnsi="Arial"/>
        </w:rPr>
        <w:t>3. 投标文件</w:t>
      </w:r>
      <w:bookmarkEnd w:id="93"/>
    </w:p>
    <w:p>
      <w:pPr>
        <w:pStyle w:val="6"/>
        <w:ind w:firstLine="137"/>
        <w:rPr>
          <w:rFonts w:ascii="宋体" w:hAnsi="宋体" w:eastAsia="宋体" w:cs="宋体"/>
          <w:sz w:val="24"/>
          <w:szCs w:val="24"/>
        </w:rPr>
      </w:pPr>
      <w:bookmarkStart w:id="94" w:name="_Toc14084"/>
      <w:r>
        <w:rPr>
          <w:rFonts w:hint="eastAsia" w:ascii="宋体" w:hAnsi="宋体" w:eastAsia="宋体" w:cs="宋体"/>
          <w:sz w:val="24"/>
          <w:szCs w:val="24"/>
        </w:rPr>
        <w:t>3.1 投标文件的组成</w:t>
      </w:r>
      <w:bookmarkEnd w:id="94"/>
    </w:p>
    <w:p>
      <w:pPr>
        <w:ind w:firstLine="480"/>
        <w:rPr>
          <w:rFonts w:ascii="宋体" w:hAnsi="宋体" w:cs="宋体"/>
          <w:szCs w:val="24"/>
        </w:rPr>
      </w:pPr>
      <w:r>
        <w:rPr>
          <w:rFonts w:hint="eastAsia" w:ascii="宋体" w:hAnsi="宋体" w:cs="宋体"/>
          <w:szCs w:val="24"/>
        </w:rPr>
        <w:t>　　3.1.1 投标文件应包括下列内容：</w:t>
      </w:r>
    </w:p>
    <w:p>
      <w:pPr>
        <w:ind w:firstLine="480"/>
        <w:rPr>
          <w:rFonts w:ascii="宋体" w:hAnsi="宋体" w:cs="宋体"/>
          <w:szCs w:val="24"/>
        </w:rPr>
      </w:pPr>
      <w:r>
        <w:rPr>
          <w:rFonts w:hint="eastAsia" w:ascii="宋体" w:hAnsi="宋体" w:cs="宋体"/>
          <w:szCs w:val="24"/>
        </w:rPr>
        <w:t>（1）投标函；</w:t>
      </w:r>
    </w:p>
    <w:p>
      <w:pPr>
        <w:ind w:firstLine="480"/>
        <w:rPr>
          <w:rFonts w:ascii="宋体" w:hAnsi="宋体" w:cs="宋体"/>
          <w:szCs w:val="24"/>
        </w:rPr>
      </w:pPr>
      <w:r>
        <w:rPr>
          <w:rFonts w:hint="eastAsia" w:ascii="宋体" w:hAnsi="宋体" w:cs="宋体"/>
          <w:szCs w:val="24"/>
        </w:rPr>
        <w:t>（2）法定代表人身份证明或授权委托书；</w:t>
      </w:r>
    </w:p>
    <w:p>
      <w:pPr>
        <w:ind w:firstLine="480"/>
        <w:rPr>
          <w:rFonts w:ascii="宋体" w:hAnsi="宋体" w:cs="宋体"/>
          <w:szCs w:val="24"/>
        </w:rPr>
      </w:pPr>
      <w:r>
        <w:rPr>
          <w:rFonts w:hint="eastAsia" w:ascii="宋体" w:hAnsi="宋体" w:cs="宋体"/>
          <w:szCs w:val="24"/>
        </w:rPr>
        <w:t>（3）投标保证金；</w:t>
      </w:r>
    </w:p>
    <w:p>
      <w:pPr>
        <w:ind w:firstLine="480"/>
        <w:rPr>
          <w:rFonts w:ascii="宋体" w:hAnsi="宋体" w:cs="宋体"/>
          <w:szCs w:val="24"/>
        </w:rPr>
      </w:pPr>
      <w:r>
        <w:rPr>
          <w:rFonts w:hint="eastAsia" w:ascii="宋体" w:hAnsi="宋体" w:cs="宋体"/>
          <w:szCs w:val="24"/>
        </w:rPr>
        <w:t>（4）商务和技术偏差表；</w:t>
      </w:r>
    </w:p>
    <w:p>
      <w:pPr>
        <w:ind w:firstLine="480"/>
        <w:rPr>
          <w:rFonts w:ascii="宋体" w:hAnsi="宋体" w:cs="宋体"/>
          <w:szCs w:val="24"/>
        </w:rPr>
      </w:pPr>
      <w:r>
        <w:rPr>
          <w:rFonts w:hint="eastAsia" w:ascii="宋体" w:hAnsi="宋体" w:cs="宋体"/>
          <w:szCs w:val="24"/>
        </w:rPr>
        <w:t>（5）分项报价表；</w:t>
      </w:r>
    </w:p>
    <w:p>
      <w:pPr>
        <w:ind w:firstLine="480"/>
        <w:rPr>
          <w:rFonts w:ascii="宋体" w:hAnsi="宋体" w:cs="宋体"/>
          <w:szCs w:val="24"/>
        </w:rPr>
      </w:pPr>
      <w:r>
        <w:rPr>
          <w:rFonts w:hint="eastAsia" w:ascii="宋体" w:hAnsi="宋体" w:cs="宋体"/>
          <w:szCs w:val="24"/>
        </w:rPr>
        <w:t>（6）</w:t>
      </w:r>
      <w:r>
        <w:rPr>
          <w:rFonts w:hint="eastAsia" w:ascii="Times New Roman" w:hAnsi="Times New Roman"/>
        </w:rPr>
        <w:t>资格审查资料</w:t>
      </w:r>
      <w:r>
        <w:rPr>
          <w:rFonts w:hint="eastAsia" w:ascii="宋体" w:hAnsi="宋体" w:cs="宋体"/>
          <w:szCs w:val="24"/>
        </w:rPr>
        <w:t>；</w:t>
      </w:r>
    </w:p>
    <w:p>
      <w:pPr>
        <w:ind w:firstLine="480"/>
        <w:rPr>
          <w:rFonts w:ascii="宋体" w:hAnsi="宋体" w:cs="宋体"/>
          <w:szCs w:val="24"/>
        </w:rPr>
      </w:pPr>
      <w:r>
        <w:rPr>
          <w:rFonts w:hint="eastAsia" w:ascii="宋体" w:hAnsi="宋体" w:cs="宋体"/>
          <w:szCs w:val="24"/>
        </w:rPr>
        <w:t>（7）其他资料；</w:t>
      </w:r>
    </w:p>
    <w:p>
      <w:pPr>
        <w:ind w:firstLine="480"/>
        <w:rPr>
          <w:rFonts w:ascii="宋体" w:hAnsi="宋体" w:cs="宋体"/>
          <w:szCs w:val="24"/>
        </w:rPr>
      </w:pPr>
      <w:r>
        <w:rPr>
          <w:rFonts w:hint="eastAsia" w:ascii="宋体" w:hAnsi="宋体" w:cs="宋体"/>
          <w:szCs w:val="24"/>
        </w:rPr>
        <w:t>投标人在评标过程中作出的符合法律法规和招标文件规定的澄清确认，构成投标文件的组成部分。</w:t>
      </w:r>
    </w:p>
    <w:p>
      <w:pPr>
        <w:ind w:firstLine="410" w:firstLineChars="171"/>
        <w:rPr>
          <w:rFonts w:ascii="宋体" w:hAnsi="宋体" w:cs="宋体"/>
          <w:szCs w:val="24"/>
        </w:rPr>
      </w:pPr>
      <w:r>
        <w:rPr>
          <w:rFonts w:hint="eastAsia" w:ascii="宋体" w:hAnsi="宋体" w:cs="宋体"/>
          <w:szCs w:val="24"/>
        </w:rPr>
        <w:t>3.1.2 投标人须知前附表规定不接受联合体投标的，或投标人没有组成联合体的，投标文件不包括本章第3.1.1（3）目所指的联合体协议书。</w:t>
      </w:r>
    </w:p>
    <w:p>
      <w:pPr>
        <w:ind w:firstLine="410" w:firstLineChars="171"/>
        <w:rPr>
          <w:rFonts w:ascii="宋体" w:hAnsi="宋体" w:cs="宋体"/>
          <w:szCs w:val="24"/>
        </w:rPr>
      </w:pPr>
      <w:r>
        <w:rPr>
          <w:rFonts w:hint="eastAsia" w:ascii="宋体" w:hAnsi="宋体" w:cs="宋体"/>
          <w:szCs w:val="24"/>
        </w:rPr>
        <w:t>3.1.3 投标人须知前附表未要求提交投标保证金的，投标文件不包括本章第3.1.1（4）目所指的投标保证金。</w:t>
      </w:r>
    </w:p>
    <w:p>
      <w:pPr>
        <w:pStyle w:val="6"/>
        <w:ind w:firstLine="137"/>
        <w:rPr>
          <w:rFonts w:ascii="宋体" w:hAnsi="宋体" w:eastAsia="宋体" w:cs="宋体"/>
          <w:sz w:val="24"/>
          <w:szCs w:val="24"/>
        </w:rPr>
      </w:pPr>
      <w:bookmarkStart w:id="95" w:name="_Toc28430"/>
      <w:r>
        <w:rPr>
          <w:rFonts w:hint="eastAsia" w:ascii="宋体" w:hAnsi="宋体" w:eastAsia="宋体" w:cs="宋体"/>
          <w:sz w:val="24"/>
          <w:szCs w:val="24"/>
        </w:rPr>
        <w:t>3.2 投标报价</w:t>
      </w:r>
      <w:bookmarkEnd w:id="95"/>
    </w:p>
    <w:p>
      <w:pPr>
        <w:ind w:firstLine="480"/>
        <w:rPr>
          <w:rFonts w:ascii="宋体" w:hAnsi="宋体" w:cs="宋体"/>
          <w:szCs w:val="24"/>
        </w:rPr>
      </w:pPr>
      <w:r>
        <w:rPr>
          <w:rFonts w:hint="eastAsia" w:ascii="宋体" w:hAnsi="宋体" w:cs="宋体"/>
          <w:szCs w:val="24"/>
        </w:rPr>
        <w:t>3.2.1 投标报价应包括国家规定的增值税税金，除投标人须知前附表另有规定外，增值税税金按一般计税方法计算。投标人应按第六章“投标文件格式”的要求在投标函中进行报价并填写分项报价表。</w:t>
      </w:r>
    </w:p>
    <w:p>
      <w:pPr>
        <w:ind w:firstLine="480"/>
        <w:rPr>
          <w:rFonts w:ascii="宋体" w:hAnsi="宋体" w:cs="宋体"/>
          <w:szCs w:val="24"/>
        </w:rPr>
      </w:pPr>
      <w:r>
        <w:rPr>
          <w:rFonts w:hint="eastAsia" w:ascii="宋体" w:hAnsi="宋体" w:cs="宋体"/>
          <w:szCs w:val="24"/>
        </w:rPr>
        <w:t>3.2.2 投标人应充分了解该项目的总体情况以及影响投标报价的其他要素。</w:t>
      </w:r>
    </w:p>
    <w:p>
      <w:pPr>
        <w:ind w:firstLine="480"/>
        <w:rPr>
          <w:rFonts w:ascii="宋体" w:hAnsi="宋体" w:cs="宋体"/>
          <w:szCs w:val="24"/>
        </w:rPr>
      </w:pPr>
      <w:r>
        <w:rPr>
          <w:rFonts w:hint="eastAsia" w:ascii="宋体" w:hAnsi="宋体" w:cs="宋体"/>
          <w:szCs w:val="24"/>
        </w:rPr>
        <w:t>3.2.3</w:t>
      </w:r>
      <w:bookmarkStart w:id="96" w:name="_Toc384308224"/>
      <w:bookmarkEnd w:id="96"/>
      <w:bookmarkStart w:id="97" w:name="_Toc247527568"/>
      <w:bookmarkEnd w:id="97"/>
      <w:bookmarkStart w:id="98" w:name="_Toc152045543"/>
      <w:bookmarkEnd w:id="98"/>
      <w:bookmarkStart w:id="99" w:name="_Toc300834964"/>
      <w:bookmarkEnd w:id="99"/>
      <w:bookmarkStart w:id="100" w:name="_Toc352691487"/>
      <w:bookmarkEnd w:id="100"/>
      <w:bookmarkStart w:id="101" w:name="_Toc361508599"/>
      <w:bookmarkEnd w:id="101"/>
      <w:bookmarkStart w:id="102" w:name="_Toc369531530"/>
      <w:bookmarkEnd w:id="102"/>
      <w:bookmarkStart w:id="103" w:name="_Toc144974511"/>
      <w:bookmarkEnd w:id="103"/>
      <w:bookmarkStart w:id="104" w:name="_Toc152042319"/>
      <w:bookmarkEnd w:id="104"/>
      <w:bookmarkStart w:id="105" w:name="_Toc15242"/>
      <w:bookmarkEnd w:id="105"/>
      <w:bookmarkStart w:id="106" w:name="_Toc247513967"/>
      <w:bookmarkEnd w:id="106"/>
      <w:r>
        <w:rPr>
          <w:rFonts w:hint="eastAsia" w:ascii="宋体" w:hAnsi="宋体" w:cs="宋体"/>
          <w:szCs w:val="24"/>
        </w:rPr>
        <w:t xml:space="preserve">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ind w:firstLine="480"/>
        <w:rPr>
          <w:rFonts w:ascii="宋体" w:hAnsi="宋体" w:cs="宋体"/>
          <w:szCs w:val="24"/>
        </w:rPr>
      </w:pPr>
      <w:r>
        <w:rPr>
          <w:rFonts w:hint="eastAsia" w:ascii="宋体" w:hAnsi="宋体" w:cs="宋体"/>
          <w:szCs w:val="24"/>
        </w:rPr>
        <w:t>3.2.4 招标人设有最高投标限价的，投标人的投标报价不得超过最高投标限价，最高投标限价在投标</w:t>
      </w:r>
      <w:bookmarkStart w:id="107" w:name="_Toc361508600"/>
      <w:bookmarkStart w:id="108" w:name="_Toc247513968"/>
      <w:bookmarkStart w:id="109" w:name="_Toc300834965"/>
      <w:bookmarkStart w:id="110" w:name="_Toc10429"/>
      <w:bookmarkStart w:id="111" w:name="_Toc247527569"/>
      <w:bookmarkStart w:id="112" w:name="_Toc152045544"/>
      <w:bookmarkStart w:id="113" w:name="_Toc369531531"/>
      <w:bookmarkStart w:id="114" w:name="_Toc144974512"/>
      <w:bookmarkStart w:id="115" w:name="_Toc352691488"/>
      <w:bookmarkStart w:id="116" w:name="_Toc384308225"/>
      <w:bookmarkStart w:id="117" w:name="_Toc152042320"/>
      <w:r>
        <w:rPr>
          <w:rFonts w:hint="eastAsia" w:ascii="宋体" w:hAnsi="宋体" w:cs="宋体"/>
          <w:szCs w:val="24"/>
        </w:rPr>
        <w:t>人须知前附表中载明。</w:t>
      </w:r>
      <w:bookmarkEnd w:id="107"/>
      <w:bookmarkEnd w:id="108"/>
      <w:bookmarkEnd w:id="109"/>
      <w:bookmarkEnd w:id="110"/>
      <w:bookmarkEnd w:id="111"/>
      <w:bookmarkEnd w:id="112"/>
      <w:bookmarkEnd w:id="113"/>
      <w:bookmarkEnd w:id="114"/>
      <w:bookmarkEnd w:id="115"/>
      <w:bookmarkEnd w:id="116"/>
      <w:bookmarkEnd w:id="117"/>
    </w:p>
    <w:p>
      <w:pPr>
        <w:ind w:firstLine="480"/>
        <w:rPr>
          <w:rFonts w:ascii="宋体" w:hAnsi="宋体" w:cs="宋体"/>
          <w:szCs w:val="24"/>
        </w:rPr>
      </w:pPr>
      <w:r>
        <w:rPr>
          <w:rFonts w:hint="eastAsia" w:ascii="宋体" w:hAnsi="宋体" w:cs="宋体"/>
          <w:szCs w:val="24"/>
        </w:rPr>
        <w:t>3.2.5 投标报价的其他要求见投标人须知前附表。</w:t>
      </w:r>
    </w:p>
    <w:p>
      <w:pPr>
        <w:pStyle w:val="6"/>
        <w:ind w:firstLine="137"/>
        <w:rPr>
          <w:rFonts w:ascii="宋体" w:hAnsi="宋体" w:eastAsia="宋体" w:cs="宋体"/>
          <w:sz w:val="24"/>
          <w:szCs w:val="24"/>
        </w:rPr>
      </w:pPr>
      <w:bookmarkStart w:id="118" w:name="_Toc9311"/>
      <w:r>
        <w:rPr>
          <w:rFonts w:hint="eastAsia" w:ascii="宋体" w:hAnsi="宋体" w:eastAsia="宋体" w:cs="宋体"/>
          <w:sz w:val="24"/>
          <w:szCs w:val="24"/>
        </w:rPr>
        <w:t>3.3 投标有效期</w:t>
      </w:r>
      <w:bookmarkEnd w:id="118"/>
    </w:p>
    <w:p>
      <w:pPr>
        <w:ind w:firstLine="480"/>
        <w:rPr>
          <w:rFonts w:ascii="宋体" w:hAnsi="宋体" w:cs="宋体"/>
          <w:szCs w:val="24"/>
        </w:rPr>
      </w:pPr>
      <w:r>
        <w:rPr>
          <w:rFonts w:hint="eastAsia" w:ascii="宋体" w:hAnsi="宋体" w:cs="宋体"/>
          <w:szCs w:val="24"/>
        </w:rPr>
        <w:t>3.3.1 除投标人须知前附表另有规定外，投标有效期为90天。</w:t>
      </w:r>
    </w:p>
    <w:p>
      <w:pPr>
        <w:ind w:firstLine="480"/>
        <w:rPr>
          <w:rFonts w:ascii="宋体" w:hAnsi="宋体" w:cs="宋体"/>
          <w:szCs w:val="24"/>
        </w:rPr>
      </w:pPr>
      <w:r>
        <w:rPr>
          <w:rFonts w:hint="eastAsia" w:ascii="宋体" w:hAnsi="宋体" w:cs="宋体"/>
          <w:szCs w:val="24"/>
        </w:rPr>
        <w:t>3.3.2 在投标有效期内，投标人撤销投标文件的，应承担招标文件和法律规定的责任。</w:t>
      </w:r>
    </w:p>
    <w:p>
      <w:pPr>
        <w:ind w:firstLine="480"/>
        <w:rPr>
          <w:rFonts w:ascii="宋体" w:hAnsi="宋体" w:cs="宋体"/>
          <w:szCs w:val="24"/>
        </w:rPr>
      </w:pPr>
      <w:r>
        <w:rPr>
          <w:rFonts w:hint="eastAsia" w:ascii="宋体" w:hAnsi="宋体" w:cs="宋体"/>
          <w:szCs w:val="24"/>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6"/>
        <w:ind w:firstLine="137"/>
        <w:rPr>
          <w:rFonts w:ascii="宋体" w:hAnsi="宋体" w:eastAsia="宋体" w:cs="宋体"/>
          <w:sz w:val="24"/>
          <w:szCs w:val="24"/>
        </w:rPr>
      </w:pPr>
      <w:bookmarkStart w:id="119" w:name="_Toc23313"/>
      <w:r>
        <w:rPr>
          <w:rFonts w:hint="eastAsia" w:ascii="宋体" w:hAnsi="宋体" w:eastAsia="宋体" w:cs="宋体"/>
          <w:sz w:val="24"/>
          <w:szCs w:val="24"/>
        </w:rPr>
        <w:t>3.4 投标保证金</w:t>
      </w:r>
      <w:bookmarkEnd w:id="119"/>
    </w:p>
    <w:p>
      <w:pPr>
        <w:ind w:firstLine="480"/>
        <w:rPr>
          <w:rFonts w:ascii="宋体" w:hAnsi="宋体" w:cs="宋体"/>
          <w:szCs w:val="24"/>
        </w:rPr>
      </w:pPr>
      <w:r>
        <w:rPr>
          <w:rFonts w:hint="eastAsia" w:ascii="宋体" w:hAnsi="宋体" w:cs="宋体"/>
          <w:szCs w:val="24"/>
        </w:rPr>
        <w:t>3.4.1 投标人在递交投标文件的同时，应按投标人须知前附表规定的金额</w:t>
      </w:r>
      <w:bookmarkStart w:id="120" w:name="_Toc352691489"/>
      <w:bookmarkStart w:id="121" w:name="_Toc369531532"/>
      <w:bookmarkStart w:id="122" w:name="_Toc247527570"/>
      <w:bookmarkStart w:id="123" w:name="_Toc152042321"/>
      <w:bookmarkStart w:id="124" w:name="_Toc144974513"/>
      <w:bookmarkStart w:id="125" w:name="_Toc361508601"/>
      <w:bookmarkStart w:id="126" w:name="_Toc384308226"/>
      <w:bookmarkStart w:id="127" w:name="_Toc247513969"/>
      <w:bookmarkStart w:id="128" w:name="_Toc4592"/>
      <w:bookmarkStart w:id="129" w:name="_Toc300834966"/>
      <w:bookmarkStart w:id="130" w:name="_Toc152045545"/>
      <w:r>
        <w:rPr>
          <w:rFonts w:hint="eastAsia" w:ascii="宋体" w:hAnsi="宋体" w:cs="宋体"/>
          <w:szCs w:val="24"/>
        </w:rPr>
        <w:t>、形式和第六章“投标文</w:t>
      </w:r>
      <w:bookmarkEnd w:id="120"/>
      <w:bookmarkEnd w:id="121"/>
      <w:bookmarkEnd w:id="122"/>
      <w:bookmarkEnd w:id="123"/>
      <w:bookmarkEnd w:id="124"/>
      <w:bookmarkEnd w:id="125"/>
      <w:bookmarkEnd w:id="126"/>
      <w:bookmarkEnd w:id="127"/>
      <w:bookmarkEnd w:id="128"/>
      <w:bookmarkEnd w:id="129"/>
      <w:bookmarkEnd w:id="130"/>
      <w:r>
        <w:rPr>
          <w:rFonts w:hint="eastAsia" w:ascii="宋体" w:hAnsi="宋体" w:cs="宋体"/>
          <w:szCs w:val="24"/>
        </w:rPr>
        <w:t>件格式”规定的投标保证金格式递交投标保证金，并作为其投标文件的组成部分。</w:t>
      </w:r>
    </w:p>
    <w:p>
      <w:pPr>
        <w:ind w:firstLine="480"/>
        <w:rPr>
          <w:rFonts w:ascii="宋体" w:hAnsi="宋体" w:cs="宋体"/>
          <w:szCs w:val="24"/>
        </w:rPr>
      </w:pPr>
      <w:r>
        <w:rPr>
          <w:rFonts w:hint="eastAsia" w:ascii="宋体" w:hAnsi="宋体" w:cs="宋体"/>
          <w:szCs w:val="24"/>
        </w:rPr>
        <w:t>3.4.2 投标人不按本章第3.4.1项</w:t>
      </w:r>
      <w:bookmarkStart w:id="131" w:name="_Toc29025"/>
      <w:bookmarkStart w:id="132" w:name="_Toc369531533"/>
      <w:bookmarkStart w:id="133" w:name="_Toc361508602"/>
      <w:bookmarkStart w:id="134" w:name="_Toc384308227"/>
      <w:bookmarkStart w:id="135" w:name="_Toc352691490"/>
      <w:r>
        <w:rPr>
          <w:rFonts w:hint="eastAsia" w:ascii="宋体" w:hAnsi="宋体" w:cs="宋体"/>
          <w:szCs w:val="24"/>
        </w:rPr>
        <w:t>要求提交投标保证金的，</w:t>
      </w:r>
      <w:bookmarkEnd w:id="131"/>
      <w:bookmarkEnd w:id="132"/>
      <w:bookmarkEnd w:id="133"/>
      <w:bookmarkEnd w:id="134"/>
      <w:bookmarkEnd w:id="135"/>
      <w:r>
        <w:rPr>
          <w:rFonts w:hint="eastAsia" w:ascii="宋体" w:hAnsi="宋体" w:cs="宋体"/>
          <w:szCs w:val="24"/>
        </w:rPr>
        <w:t>评标委员会将否决其投标。</w:t>
      </w:r>
    </w:p>
    <w:p>
      <w:pPr>
        <w:ind w:firstLine="480"/>
        <w:rPr>
          <w:rFonts w:ascii="宋体" w:hAnsi="宋体" w:cs="宋体"/>
          <w:szCs w:val="24"/>
        </w:rPr>
      </w:pPr>
      <w:r>
        <w:rPr>
          <w:rFonts w:hint="eastAsia" w:ascii="宋体" w:hAnsi="宋体" w:cs="宋体"/>
          <w:szCs w:val="24"/>
        </w:rPr>
        <w:t>3.4.3 招标人最迟将在与中标人</w:t>
      </w:r>
      <w:bookmarkStart w:id="136" w:name="_Toc152045546"/>
      <w:bookmarkStart w:id="137" w:name="_Toc300834967"/>
      <w:bookmarkStart w:id="138" w:name="_Toc247513970"/>
      <w:bookmarkStart w:id="139" w:name="_Toc384308228"/>
      <w:bookmarkStart w:id="140" w:name="_Toc352691491"/>
      <w:bookmarkStart w:id="141" w:name="_Toc369531534"/>
      <w:bookmarkStart w:id="142" w:name="_Toc361508603"/>
      <w:bookmarkStart w:id="143" w:name="_Toc144974514"/>
      <w:bookmarkStart w:id="144" w:name="_Toc152042322"/>
      <w:bookmarkStart w:id="145" w:name="_Toc14751"/>
      <w:bookmarkStart w:id="146" w:name="_Toc247527571"/>
      <w:r>
        <w:rPr>
          <w:rFonts w:hint="eastAsia" w:ascii="宋体" w:hAnsi="宋体" w:cs="宋体"/>
          <w:szCs w:val="24"/>
        </w:rPr>
        <w:t>签订合同后5日</w:t>
      </w:r>
      <w:bookmarkEnd w:id="136"/>
      <w:bookmarkEnd w:id="137"/>
      <w:bookmarkEnd w:id="138"/>
      <w:bookmarkEnd w:id="139"/>
      <w:bookmarkEnd w:id="140"/>
      <w:bookmarkEnd w:id="141"/>
      <w:bookmarkEnd w:id="142"/>
      <w:bookmarkEnd w:id="143"/>
      <w:bookmarkEnd w:id="144"/>
      <w:bookmarkEnd w:id="145"/>
      <w:bookmarkEnd w:id="146"/>
      <w:r>
        <w:rPr>
          <w:rFonts w:hint="eastAsia" w:ascii="宋体" w:hAnsi="宋体" w:cs="宋体"/>
          <w:szCs w:val="24"/>
        </w:rPr>
        <w:t>内</w:t>
      </w:r>
      <w:bookmarkStart w:id="147" w:name="_Toc361508604"/>
      <w:bookmarkStart w:id="148" w:name="_Toc247527572"/>
      <w:bookmarkStart w:id="149" w:name="_Toc352691492"/>
      <w:bookmarkStart w:id="150" w:name="_Toc152042323"/>
      <w:bookmarkStart w:id="151" w:name="_Toc300834968"/>
      <w:bookmarkStart w:id="152" w:name="_Toc144974515"/>
      <w:bookmarkStart w:id="153" w:name="_Toc384308229"/>
      <w:bookmarkStart w:id="154" w:name="_Toc247513971"/>
      <w:bookmarkStart w:id="155" w:name="_Toc152045547"/>
      <w:bookmarkStart w:id="156" w:name="_Toc369531535"/>
      <w:bookmarkStart w:id="157" w:name="_Toc17952"/>
      <w:r>
        <w:rPr>
          <w:rFonts w:hint="eastAsia" w:ascii="宋体" w:hAnsi="宋体" w:cs="宋体"/>
          <w:szCs w:val="24"/>
        </w:rPr>
        <w:t>，向未中标的投标人和中</w:t>
      </w:r>
      <w:bookmarkEnd w:id="147"/>
      <w:bookmarkEnd w:id="148"/>
      <w:bookmarkEnd w:id="149"/>
      <w:bookmarkEnd w:id="150"/>
      <w:bookmarkEnd w:id="151"/>
      <w:bookmarkEnd w:id="152"/>
      <w:bookmarkEnd w:id="153"/>
      <w:bookmarkEnd w:id="154"/>
      <w:bookmarkEnd w:id="155"/>
      <w:bookmarkEnd w:id="156"/>
      <w:bookmarkEnd w:id="157"/>
      <w:r>
        <w:rPr>
          <w:rFonts w:hint="eastAsia" w:ascii="宋体" w:hAnsi="宋体" w:cs="宋体"/>
          <w:szCs w:val="24"/>
        </w:rPr>
        <w:t>标人退还投标保证金。投标保证金以现金或者支票形式递交的，还应退还银行同期存款利息。</w:t>
      </w:r>
    </w:p>
    <w:p>
      <w:pPr>
        <w:ind w:firstLine="480"/>
        <w:rPr>
          <w:rFonts w:ascii="宋体" w:hAnsi="宋体" w:cs="宋体"/>
          <w:szCs w:val="24"/>
        </w:rPr>
      </w:pPr>
      <w:r>
        <w:rPr>
          <w:rFonts w:hint="eastAsia" w:ascii="宋体" w:hAnsi="宋体" w:cs="宋体"/>
          <w:szCs w:val="24"/>
        </w:rPr>
        <w:t>3.4.4 有下列情形之一的，投标保证金将不予退还：</w:t>
      </w:r>
    </w:p>
    <w:p>
      <w:pPr>
        <w:ind w:firstLine="360" w:firstLineChars="150"/>
        <w:rPr>
          <w:rFonts w:ascii="宋体" w:hAnsi="宋体" w:cs="宋体"/>
          <w:szCs w:val="24"/>
        </w:rPr>
      </w:pPr>
      <w:r>
        <w:rPr>
          <w:rFonts w:hint="eastAsia" w:ascii="宋体" w:hAnsi="宋体" w:cs="宋体"/>
          <w:szCs w:val="24"/>
        </w:rPr>
        <w:t>（1）投标人在投标有效期内撤销投标文件；</w:t>
      </w:r>
    </w:p>
    <w:p>
      <w:pPr>
        <w:ind w:firstLine="360" w:firstLineChars="150"/>
        <w:rPr>
          <w:rFonts w:ascii="宋体" w:hAnsi="宋体" w:cs="宋体"/>
          <w:szCs w:val="24"/>
        </w:rPr>
      </w:pPr>
      <w:r>
        <w:rPr>
          <w:rFonts w:hint="eastAsia" w:ascii="宋体" w:hAnsi="宋体" w:cs="宋体"/>
          <w:szCs w:val="24"/>
        </w:rPr>
        <w:t>（2）中标人在收到中标通知书后，无正当理由不与招标人订立合同，在签订合同时向招标人提出附加条件，或者不按照招标文件要求提交履约保证金；</w:t>
      </w:r>
    </w:p>
    <w:p>
      <w:pPr>
        <w:ind w:firstLine="360" w:firstLineChars="150"/>
        <w:rPr>
          <w:rFonts w:ascii="宋体" w:hAnsi="宋体" w:cs="宋体"/>
          <w:szCs w:val="24"/>
        </w:rPr>
      </w:pPr>
      <w:r>
        <w:rPr>
          <w:rFonts w:hint="eastAsia" w:ascii="宋体" w:hAnsi="宋体" w:cs="宋体"/>
          <w:szCs w:val="24"/>
        </w:rPr>
        <w:t>（3）发生投标人须知前附表规定的其他可以不予退还投标保证金的情形。</w:t>
      </w:r>
    </w:p>
    <w:p>
      <w:pPr>
        <w:pStyle w:val="6"/>
        <w:ind w:firstLine="137"/>
        <w:rPr>
          <w:rFonts w:ascii="宋体" w:hAnsi="宋体" w:eastAsia="宋体" w:cs="宋体"/>
          <w:sz w:val="24"/>
          <w:szCs w:val="24"/>
        </w:rPr>
      </w:pPr>
      <w:bookmarkStart w:id="158" w:name="_Toc9793"/>
      <w:r>
        <w:rPr>
          <w:rFonts w:hint="eastAsia" w:ascii="宋体" w:hAnsi="宋体" w:eastAsia="宋体" w:cs="宋体"/>
          <w:sz w:val="24"/>
          <w:szCs w:val="24"/>
        </w:rPr>
        <w:t>3.5 资格审查资料</w:t>
      </w:r>
      <w:bookmarkEnd w:id="158"/>
    </w:p>
    <w:p>
      <w:pPr>
        <w:ind w:firstLine="480"/>
        <w:rPr>
          <w:rFonts w:ascii="宋体" w:hAnsi="宋体" w:cs="宋体"/>
          <w:szCs w:val="24"/>
        </w:rPr>
      </w:pPr>
      <w:r>
        <w:rPr>
          <w:rFonts w:hint="eastAsia" w:ascii="宋体" w:hAnsi="宋体" w:cs="宋体"/>
          <w:szCs w:val="24"/>
        </w:rPr>
        <w:t>除投标人须知前附表另有规定外，投标人应按下列规定提供资格审查资料，以证明其满足本章第1.4款规定的资质、财务、业绩、信誉等要求。</w:t>
      </w:r>
    </w:p>
    <w:p>
      <w:pPr>
        <w:ind w:firstLine="480"/>
        <w:rPr>
          <w:rFonts w:ascii="宋体" w:hAnsi="宋体" w:cs="宋体"/>
          <w:szCs w:val="24"/>
        </w:rPr>
      </w:pPr>
      <w:r>
        <w:rPr>
          <w:rFonts w:hint="eastAsia" w:ascii="宋体" w:hAnsi="宋体" w:cs="宋体"/>
          <w:szCs w:val="24"/>
        </w:rPr>
        <w:t>3.5.1 “投标人基本情况表”应附投标人及其制造商（适用于代理经销商投标的情形）资格或者资质证书副本和投标材料检验或认证等材料的复印件以及：</w:t>
      </w:r>
    </w:p>
    <w:p>
      <w:pPr>
        <w:ind w:firstLine="480"/>
        <w:rPr>
          <w:rFonts w:ascii="宋体" w:hAnsi="宋体" w:cs="宋体"/>
          <w:szCs w:val="24"/>
        </w:rPr>
      </w:pPr>
      <w:r>
        <w:rPr>
          <w:rFonts w:hint="eastAsia" w:ascii="宋体" w:hAnsi="宋体" w:cs="宋体"/>
          <w:szCs w:val="24"/>
        </w:rPr>
        <w:t>（1）投标人为企业的，应提交营业执照和组织机构代码证的复印件（按照“三证合一”或“五证合一”登记制度进行登记的，可仅提供营业执照复印件）；</w:t>
      </w:r>
    </w:p>
    <w:p>
      <w:pPr>
        <w:ind w:firstLine="480"/>
        <w:rPr>
          <w:rFonts w:ascii="宋体" w:hAnsi="宋体" w:cs="宋体"/>
          <w:szCs w:val="24"/>
        </w:rPr>
      </w:pPr>
      <w:r>
        <w:rPr>
          <w:rFonts w:hint="eastAsia" w:ascii="宋体" w:hAnsi="宋体" w:cs="宋体"/>
          <w:szCs w:val="24"/>
        </w:rPr>
        <w:t>（2）投标人为依法允许经营的事业单位的，应提交事业单位法人证书和组织机构代码证的复印件。</w:t>
      </w:r>
    </w:p>
    <w:p>
      <w:pPr>
        <w:ind w:firstLine="480"/>
        <w:rPr>
          <w:rFonts w:ascii="宋体" w:hAnsi="宋体" w:cs="宋体"/>
          <w:szCs w:val="24"/>
        </w:rPr>
      </w:pPr>
      <w:r>
        <w:rPr>
          <w:rFonts w:hint="eastAsia" w:ascii="宋体" w:hAnsi="宋体" w:cs="宋体"/>
          <w:szCs w:val="24"/>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ind w:firstLine="480"/>
        <w:rPr>
          <w:rFonts w:ascii="宋体" w:hAnsi="宋体" w:cs="宋体"/>
          <w:szCs w:val="24"/>
        </w:rPr>
      </w:pPr>
      <w:r>
        <w:rPr>
          <w:rFonts w:hint="eastAsia" w:ascii="宋体" w:hAnsi="宋体" w:cs="宋体"/>
          <w:szCs w:val="24"/>
        </w:rPr>
        <w:t>3.5.3 “近年完成的类似项目情况表”应附中标通知书和（或）合同协议书、设备进场验收证书等的复印件，具体时间要求见投标人须知前附表。每张表格只填写一个项目，并标明序号。</w:t>
      </w:r>
    </w:p>
    <w:p>
      <w:pPr>
        <w:ind w:firstLine="480"/>
        <w:rPr>
          <w:rFonts w:ascii="宋体" w:hAnsi="宋体" w:cs="宋体"/>
          <w:szCs w:val="24"/>
        </w:rPr>
      </w:pPr>
      <w:r>
        <w:rPr>
          <w:rFonts w:hint="eastAsia" w:ascii="宋体" w:hAnsi="宋体" w:cs="宋体"/>
          <w:szCs w:val="24"/>
        </w:rPr>
        <w:t>3.5.4 “正在供货和新承接的项目情况表”应附中标通知书和（或）合同协议书复印件。每张表格只填写一个项目，并标明序号。</w:t>
      </w:r>
    </w:p>
    <w:p>
      <w:pPr>
        <w:ind w:firstLine="480"/>
        <w:rPr>
          <w:rFonts w:ascii="宋体" w:hAnsi="宋体" w:cs="宋体"/>
          <w:szCs w:val="24"/>
        </w:rPr>
      </w:pPr>
      <w:r>
        <w:rPr>
          <w:rFonts w:hint="eastAsia" w:ascii="宋体" w:hAnsi="宋体" w:cs="宋体"/>
          <w:szCs w:val="24"/>
        </w:rPr>
        <w:t>3.5.5 “近年发生的诉讼及仲裁情况”应说明投标人败诉的设备买卖合同的相关情况，并附法院或仲裁机构作出的判决、裁决等有关法律文书复印件，具体时间要求见投标人须知前附表。</w:t>
      </w:r>
    </w:p>
    <w:p>
      <w:pPr>
        <w:ind w:firstLine="480"/>
        <w:rPr>
          <w:rFonts w:ascii="宋体" w:hAnsi="宋体" w:cs="宋体"/>
          <w:szCs w:val="24"/>
        </w:rPr>
      </w:pPr>
      <w:r>
        <w:rPr>
          <w:rFonts w:hint="eastAsia" w:ascii="宋体" w:hAnsi="宋体" w:cs="宋体"/>
          <w:szCs w:val="24"/>
        </w:rPr>
        <w:t>3.5.6 投标人须知前附表规定接受联合体投标的，本章第3.5.1项至第3.5.5项规定的表格和资料应包括联合体各方相关情况。</w:t>
      </w:r>
    </w:p>
    <w:p>
      <w:pPr>
        <w:pStyle w:val="6"/>
        <w:ind w:firstLine="137"/>
        <w:rPr>
          <w:rFonts w:ascii="宋体" w:hAnsi="宋体" w:eastAsia="宋体" w:cs="宋体"/>
          <w:sz w:val="24"/>
          <w:szCs w:val="24"/>
        </w:rPr>
      </w:pPr>
      <w:bookmarkStart w:id="159" w:name="_Toc23883"/>
      <w:r>
        <w:rPr>
          <w:rFonts w:hint="eastAsia" w:ascii="宋体" w:hAnsi="宋体" w:eastAsia="宋体" w:cs="宋体"/>
          <w:sz w:val="24"/>
          <w:szCs w:val="24"/>
        </w:rPr>
        <w:t>3.6 备选投标方案</w:t>
      </w:r>
      <w:bookmarkEnd w:id="159"/>
    </w:p>
    <w:p>
      <w:pPr>
        <w:ind w:firstLine="480"/>
        <w:rPr>
          <w:rFonts w:ascii="宋体" w:hAnsi="宋体" w:cs="宋体"/>
          <w:szCs w:val="24"/>
        </w:rPr>
      </w:pPr>
      <w:r>
        <w:rPr>
          <w:rFonts w:hint="eastAsia" w:ascii="宋体" w:hAnsi="宋体" w:cs="宋体"/>
          <w:szCs w:val="24"/>
        </w:rPr>
        <w:t>3.6.1 除投标人须知前附表规定允许外，投标人不得递交备选投标方案，否则其投标将被否决。</w:t>
      </w:r>
    </w:p>
    <w:p>
      <w:pPr>
        <w:ind w:firstLine="480"/>
        <w:rPr>
          <w:rFonts w:ascii="宋体" w:hAnsi="宋体" w:cs="宋体"/>
          <w:szCs w:val="24"/>
        </w:rPr>
      </w:pPr>
      <w:r>
        <w:rPr>
          <w:rFonts w:hint="eastAsia" w:ascii="宋体" w:hAnsi="宋体" w:cs="宋体"/>
          <w:szCs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ind w:firstLine="480"/>
        <w:rPr>
          <w:rFonts w:ascii="宋体" w:hAnsi="宋体" w:cs="宋体"/>
          <w:szCs w:val="24"/>
        </w:rPr>
      </w:pPr>
      <w:r>
        <w:rPr>
          <w:rFonts w:hint="eastAsia" w:ascii="宋体" w:hAnsi="宋体" w:cs="宋体"/>
          <w:szCs w:val="24"/>
        </w:rPr>
        <w:t>3.6.3 投标人提供两个或两个以上投标报价，或者在投标文件中提供一个报价，但同时提供两个或两个以上供</w:t>
      </w:r>
      <w:bookmarkStart w:id="160" w:name="_Toc152045550"/>
      <w:bookmarkStart w:id="161" w:name="_Toc384308232"/>
      <w:bookmarkStart w:id="162" w:name="_Toc352691495"/>
      <w:bookmarkStart w:id="163" w:name="_Toc361508607"/>
      <w:bookmarkStart w:id="164" w:name="_Toc247527575"/>
      <w:bookmarkStart w:id="165" w:name="_Toc152042326"/>
      <w:bookmarkStart w:id="166" w:name="_Toc29902"/>
      <w:bookmarkStart w:id="167" w:name="_Toc144974518"/>
      <w:bookmarkStart w:id="168" w:name="_Toc369531538"/>
      <w:bookmarkStart w:id="169" w:name="_Toc300834971"/>
      <w:bookmarkStart w:id="170" w:name="_Toc247513974"/>
      <w:r>
        <w:rPr>
          <w:rFonts w:hint="eastAsia" w:ascii="宋体" w:hAnsi="宋体" w:cs="宋体"/>
          <w:szCs w:val="24"/>
        </w:rPr>
        <w:t>货方案的</w:t>
      </w:r>
      <w:bookmarkEnd w:id="160"/>
      <w:bookmarkEnd w:id="161"/>
      <w:bookmarkEnd w:id="162"/>
      <w:bookmarkEnd w:id="163"/>
      <w:bookmarkEnd w:id="164"/>
      <w:bookmarkEnd w:id="165"/>
      <w:bookmarkEnd w:id="166"/>
      <w:bookmarkEnd w:id="167"/>
      <w:bookmarkEnd w:id="168"/>
      <w:bookmarkEnd w:id="169"/>
      <w:bookmarkEnd w:id="170"/>
      <w:r>
        <w:rPr>
          <w:rFonts w:hint="eastAsia" w:ascii="宋体" w:hAnsi="宋体" w:cs="宋体"/>
          <w:szCs w:val="24"/>
        </w:rPr>
        <w:t>，视为提供备选方案。</w:t>
      </w:r>
    </w:p>
    <w:p>
      <w:pPr>
        <w:pStyle w:val="6"/>
        <w:ind w:firstLine="137"/>
        <w:rPr>
          <w:rFonts w:ascii="宋体" w:hAnsi="宋体" w:eastAsia="宋体" w:cs="宋体"/>
          <w:sz w:val="24"/>
          <w:szCs w:val="24"/>
        </w:rPr>
      </w:pPr>
      <w:bookmarkStart w:id="171" w:name="_Toc31500"/>
      <w:r>
        <w:rPr>
          <w:rFonts w:hint="eastAsia" w:ascii="宋体" w:hAnsi="宋体" w:eastAsia="宋体" w:cs="宋体"/>
          <w:sz w:val="24"/>
          <w:szCs w:val="24"/>
        </w:rPr>
        <w:t>3.7 投标文件的编制</w:t>
      </w:r>
      <w:bookmarkEnd w:id="171"/>
    </w:p>
    <w:p>
      <w:pPr>
        <w:ind w:firstLine="480"/>
        <w:rPr>
          <w:rFonts w:ascii="宋体" w:hAnsi="宋体" w:cs="宋体"/>
          <w:szCs w:val="24"/>
        </w:rPr>
      </w:pPr>
      <w:r>
        <w:rPr>
          <w:rFonts w:hint="eastAsia" w:ascii="宋体" w:hAnsi="宋体" w:cs="宋体"/>
          <w:szCs w:val="24"/>
        </w:rPr>
        <w:t>3.7.1 投标文件应按第六章“投标文件格式”进行编写，如有必要，可以增加附页，作为投标文件的组成部分。</w:t>
      </w:r>
    </w:p>
    <w:p>
      <w:pPr>
        <w:ind w:firstLine="480"/>
        <w:rPr>
          <w:rFonts w:ascii="宋体" w:hAnsi="宋体" w:cs="宋体"/>
          <w:szCs w:val="24"/>
        </w:rPr>
      </w:pPr>
      <w:r>
        <w:rPr>
          <w:rFonts w:hint="eastAsia" w:ascii="宋体" w:hAnsi="宋体" w:cs="宋体"/>
          <w:szCs w:val="24"/>
        </w:rPr>
        <w:t>3.7.2 投标文件应当对招标文件有关供货期、投标有效期、供货要求、招标范围等实质性内容作出响应。投标文件在满足招标文件实质性要求的基础上，可以提出比招标文件要求更有利于招标人的承诺。</w:t>
      </w:r>
    </w:p>
    <w:p>
      <w:pPr>
        <w:ind w:firstLine="480"/>
        <w:rPr>
          <w:rFonts w:ascii="宋体" w:hAnsi="宋体" w:cs="宋体"/>
          <w:szCs w:val="24"/>
        </w:rPr>
      </w:pPr>
      <w:r>
        <w:rPr>
          <w:rFonts w:hint="eastAsia" w:ascii="宋体" w:hAnsi="宋体" w:cs="宋体"/>
          <w:szCs w:val="24"/>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ind w:firstLine="480"/>
        <w:rPr>
          <w:rFonts w:ascii="宋体" w:hAnsi="宋体" w:cs="宋体"/>
          <w:szCs w:val="24"/>
        </w:rPr>
      </w:pPr>
      <w:r>
        <w:rPr>
          <w:rFonts w:hint="eastAsia" w:ascii="宋体" w:hAnsi="宋体" w:cs="宋体"/>
          <w:szCs w:val="24"/>
        </w:rPr>
        <w:t>（2）投标文件正本一份，副本份数见投标人须知前附表。正本和副本的封面</w:t>
      </w:r>
      <w:r>
        <w:rPr>
          <w:rStyle w:val="35"/>
          <w:rFonts w:hint="eastAsia" w:ascii="宋体" w:hAnsi="宋体" w:cs="宋体"/>
          <w:kern w:val="0"/>
          <w:sz w:val="24"/>
          <w:szCs w:val="24"/>
        </w:rPr>
        <w:t>右上角</w:t>
      </w:r>
      <w:r>
        <w:rPr>
          <w:rFonts w:hint="eastAsia" w:ascii="宋体" w:hAnsi="宋体" w:cs="宋体"/>
          <w:szCs w:val="24"/>
        </w:rPr>
        <w:t>上应清楚地标记“正本”或“副本”的字样。投标人应根据投标人须知前附表要求提供电子版文件。当副本和正本不一致或电子版文件和纸质正本文件不一致时，以纸质正本文件为准。</w:t>
      </w:r>
    </w:p>
    <w:p>
      <w:pPr>
        <w:ind w:firstLine="480"/>
        <w:rPr>
          <w:rFonts w:ascii="宋体" w:hAnsi="宋体" w:cs="宋体"/>
          <w:szCs w:val="24"/>
        </w:rPr>
      </w:pPr>
      <w:r>
        <w:rPr>
          <w:rFonts w:hint="eastAsia" w:ascii="宋体" w:hAnsi="宋体" w:cs="宋体"/>
          <w:szCs w:val="24"/>
        </w:rPr>
        <w:t>（3）投标文件的正本与副本应分别装订，并编制目录，投标文件需分册装订的，具体分册装订要求见投标人须知前附表规定。</w:t>
      </w:r>
    </w:p>
    <w:p>
      <w:pPr>
        <w:pStyle w:val="6"/>
        <w:rPr>
          <w:rFonts w:ascii="Arial" w:hAnsi="Arial"/>
        </w:rPr>
      </w:pPr>
      <w:bookmarkStart w:id="172" w:name="_Toc29469"/>
      <w:r>
        <w:rPr>
          <w:rFonts w:hint="eastAsia" w:ascii="Arial" w:hAnsi="Arial"/>
        </w:rPr>
        <w:t>4. 投标</w:t>
      </w:r>
      <w:bookmarkEnd w:id="172"/>
    </w:p>
    <w:p>
      <w:pPr>
        <w:pStyle w:val="6"/>
        <w:ind w:firstLine="137"/>
        <w:rPr>
          <w:rFonts w:ascii="宋体" w:hAnsi="宋体" w:eastAsia="宋体" w:cs="宋体"/>
          <w:sz w:val="24"/>
          <w:szCs w:val="24"/>
        </w:rPr>
      </w:pPr>
      <w:bookmarkStart w:id="173" w:name="_Toc2326"/>
      <w:r>
        <w:rPr>
          <w:rFonts w:hint="eastAsia" w:ascii="宋体" w:hAnsi="宋体" w:eastAsia="宋体" w:cs="宋体"/>
          <w:sz w:val="24"/>
          <w:szCs w:val="24"/>
        </w:rPr>
        <w:t>4.1 投标文件的密封和标记</w:t>
      </w:r>
      <w:bookmarkEnd w:id="173"/>
    </w:p>
    <w:p>
      <w:pPr>
        <w:ind w:firstLine="480"/>
        <w:rPr>
          <w:rFonts w:ascii="宋体" w:hAnsi="宋体" w:cs="宋体"/>
          <w:szCs w:val="24"/>
        </w:rPr>
      </w:pPr>
      <w:r>
        <w:rPr>
          <w:rFonts w:hint="eastAsia" w:ascii="宋体" w:hAnsi="宋体" w:cs="宋体"/>
          <w:szCs w:val="24"/>
        </w:rPr>
        <w:t>4.1.1 投标文件应密封包装，并在封套的封口处加盖投标人单位章或由投标人的法定代表人 或其授权的代理人签字。</w:t>
      </w:r>
    </w:p>
    <w:p>
      <w:pPr>
        <w:ind w:firstLine="480"/>
        <w:rPr>
          <w:rFonts w:ascii="宋体" w:hAnsi="宋体" w:cs="宋体"/>
          <w:szCs w:val="24"/>
        </w:rPr>
      </w:pPr>
      <w:r>
        <w:rPr>
          <w:rFonts w:hint="eastAsia" w:ascii="宋体" w:hAnsi="宋体" w:cs="宋体"/>
          <w:szCs w:val="24"/>
        </w:rPr>
        <w:t>4.1.2 投标文件封套上应写明的内容见投标人须知前附表。</w:t>
      </w:r>
    </w:p>
    <w:p>
      <w:pPr>
        <w:ind w:firstLine="480"/>
        <w:rPr>
          <w:rFonts w:ascii="宋体" w:hAnsi="宋体" w:cs="宋体"/>
          <w:szCs w:val="24"/>
        </w:rPr>
      </w:pPr>
      <w:r>
        <w:rPr>
          <w:rFonts w:hint="eastAsia" w:ascii="宋体" w:hAnsi="宋体" w:cs="宋体"/>
          <w:szCs w:val="24"/>
        </w:rPr>
        <w:t>4.1.3 未按本章第4.1.1项要求密封的投标文件，招标人将予以拒收。</w:t>
      </w:r>
    </w:p>
    <w:p>
      <w:pPr>
        <w:pStyle w:val="6"/>
        <w:ind w:firstLine="137"/>
        <w:rPr>
          <w:rFonts w:ascii="宋体" w:hAnsi="宋体" w:eastAsia="宋体" w:cs="宋体"/>
          <w:sz w:val="24"/>
          <w:szCs w:val="24"/>
        </w:rPr>
      </w:pPr>
      <w:bookmarkStart w:id="174" w:name="_Toc13849"/>
      <w:r>
        <w:rPr>
          <w:rFonts w:hint="eastAsia" w:ascii="宋体" w:hAnsi="宋体" w:eastAsia="宋体" w:cs="宋体"/>
          <w:sz w:val="24"/>
          <w:szCs w:val="24"/>
        </w:rPr>
        <w:t>4.2 投标文件的递交</w:t>
      </w:r>
      <w:bookmarkEnd w:id="174"/>
    </w:p>
    <w:p>
      <w:pPr>
        <w:ind w:firstLine="480"/>
        <w:rPr>
          <w:rFonts w:ascii="宋体" w:hAnsi="宋体" w:cs="宋体"/>
          <w:szCs w:val="24"/>
        </w:rPr>
      </w:pPr>
      <w:r>
        <w:rPr>
          <w:rFonts w:hint="eastAsia" w:ascii="宋体" w:hAnsi="宋体" w:cs="宋体"/>
          <w:szCs w:val="24"/>
        </w:rPr>
        <w:t>4.2.1 投标人应在投标人须知前附表规定的投标截止时间前递交投标文件。</w:t>
      </w:r>
    </w:p>
    <w:p>
      <w:pPr>
        <w:ind w:firstLine="480"/>
        <w:rPr>
          <w:rFonts w:ascii="宋体" w:hAnsi="宋体" w:cs="宋体"/>
          <w:szCs w:val="24"/>
        </w:rPr>
      </w:pPr>
      <w:r>
        <w:rPr>
          <w:rFonts w:hint="eastAsia" w:ascii="宋体" w:hAnsi="宋体" w:cs="宋体"/>
          <w:szCs w:val="24"/>
        </w:rPr>
        <w:t>4.2.2 投标人递交投标文件的地点：见投标人须知前附表。</w:t>
      </w:r>
    </w:p>
    <w:p>
      <w:pPr>
        <w:ind w:firstLine="480"/>
        <w:rPr>
          <w:rFonts w:ascii="宋体" w:hAnsi="宋体" w:cs="宋体"/>
          <w:szCs w:val="24"/>
        </w:rPr>
      </w:pPr>
      <w:r>
        <w:rPr>
          <w:rFonts w:hint="eastAsia" w:ascii="宋体" w:hAnsi="宋体" w:cs="宋体"/>
          <w:szCs w:val="24"/>
        </w:rPr>
        <w:t>4.2.3 除投标人须知前附表另有规定外，投标人所递交的投标文件不予退还。</w:t>
      </w:r>
    </w:p>
    <w:p>
      <w:pPr>
        <w:ind w:firstLine="480"/>
        <w:rPr>
          <w:rFonts w:ascii="宋体" w:hAnsi="宋体" w:cs="宋体"/>
          <w:szCs w:val="24"/>
        </w:rPr>
      </w:pPr>
      <w:r>
        <w:rPr>
          <w:rFonts w:hint="eastAsia" w:ascii="宋体" w:hAnsi="宋体" w:cs="宋体"/>
          <w:szCs w:val="24"/>
        </w:rPr>
        <w:t>4.2.4 招标人收到投标文件后，向投标人出具签收凭证。</w:t>
      </w:r>
    </w:p>
    <w:p>
      <w:pPr>
        <w:ind w:firstLine="480"/>
        <w:rPr>
          <w:rFonts w:ascii="宋体" w:hAnsi="宋体" w:cs="宋体"/>
          <w:szCs w:val="24"/>
        </w:rPr>
      </w:pPr>
      <w:r>
        <w:rPr>
          <w:rFonts w:hint="eastAsia" w:ascii="宋体" w:hAnsi="宋体" w:cs="宋体"/>
          <w:szCs w:val="24"/>
        </w:rPr>
        <w:t>4.2.5 逾期送达的或未送达指定地点的投标文件，招标人将予以拒收。</w:t>
      </w:r>
    </w:p>
    <w:p>
      <w:pPr>
        <w:pStyle w:val="6"/>
        <w:ind w:firstLine="137"/>
        <w:rPr>
          <w:rFonts w:ascii="宋体" w:hAnsi="宋体" w:eastAsia="宋体" w:cs="宋体"/>
          <w:sz w:val="24"/>
          <w:szCs w:val="24"/>
        </w:rPr>
      </w:pPr>
      <w:bookmarkStart w:id="175" w:name="_Toc26104"/>
      <w:r>
        <w:rPr>
          <w:rFonts w:hint="eastAsia" w:ascii="宋体" w:hAnsi="宋体" w:eastAsia="宋体" w:cs="宋体"/>
          <w:sz w:val="24"/>
          <w:szCs w:val="24"/>
        </w:rPr>
        <w:t>4.3 投标文件的修改与撤回</w:t>
      </w:r>
      <w:bookmarkEnd w:id="175"/>
    </w:p>
    <w:p>
      <w:pPr>
        <w:ind w:firstLine="480"/>
        <w:rPr>
          <w:rFonts w:ascii="宋体" w:hAnsi="宋体" w:cs="宋体"/>
          <w:szCs w:val="24"/>
        </w:rPr>
      </w:pPr>
      <w:r>
        <w:rPr>
          <w:rFonts w:hint="eastAsia" w:ascii="宋体" w:hAnsi="宋体" w:cs="宋体"/>
          <w:szCs w:val="24"/>
        </w:rPr>
        <w:t>4.3.1 在本章第4.2.1项规定的投标截止时间前，投标人可以修改或撤回已递交的投标文件，但应以书面形式通知招标人。</w:t>
      </w:r>
    </w:p>
    <w:p>
      <w:pPr>
        <w:ind w:firstLine="480"/>
        <w:rPr>
          <w:rFonts w:ascii="宋体" w:hAnsi="宋体" w:cs="宋体"/>
          <w:szCs w:val="24"/>
        </w:rPr>
      </w:pPr>
      <w:r>
        <w:rPr>
          <w:rFonts w:hint="eastAsia" w:ascii="宋体" w:hAnsi="宋体" w:cs="宋体"/>
          <w:szCs w:val="24"/>
        </w:rPr>
        <w:t>4.3.2 投标人修改或撤回已递交投标文件的书面通知应按照本章第3.7.3的要求签字或盖章。招标人收到书面通知后，向投标人出具签收凭证。</w:t>
      </w:r>
    </w:p>
    <w:p>
      <w:pPr>
        <w:ind w:firstLine="480"/>
        <w:rPr>
          <w:rFonts w:ascii="宋体" w:hAnsi="宋体" w:cs="宋体"/>
          <w:szCs w:val="24"/>
        </w:rPr>
      </w:pPr>
      <w:r>
        <w:rPr>
          <w:rFonts w:hint="eastAsia" w:ascii="宋体" w:hAnsi="宋体" w:cs="宋体"/>
          <w:szCs w:val="24"/>
        </w:rPr>
        <w:t>4.3.3 投标人撤回投标文件的，招标人自收到投标人书面撤回通知之日起5日内退还已收取的投标保证金。</w:t>
      </w:r>
    </w:p>
    <w:p>
      <w:pPr>
        <w:ind w:firstLine="480"/>
        <w:rPr>
          <w:rFonts w:ascii="宋体" w:hAnsi="宋体" w:cs="宋体"/>
          <w:szCs w:val="24"/>
        </w:rPr>
      </w:pPr>
      <w:r>
        <w:rPr>
          <w:rFonts w:hint="eastAsia" w:ascii="宋体" w:hAnsi="宋体" w:cs="宋体"/>
          <w:szCs w:val="24"/>
        </w:rPr>
        <w:t>4.3.</w:t>
      </w:r>
      <w:bookmarkStart w:id="176" w:name="_Toc361508610"/>
      <w:bookmarkStart w:id="177" w:name="_Toc19203"/>
      <w:bookmarkStart w:id="178" w:name="_Toc152045553"/>
      <w:bookmarkStart w:id="179" w:name="_Toc247513977"/>
      <w:bookmarkStart w:id="180" w:name="_Toc384308235"/>
      <w:bookmarkStart w:id="181" w:name="_Toc247527578"/>
      <w:bookmarkStart w:id="182" w:name="_Toc300834974"/>
      <w:bookmarkStart w:id="183" w:name="_Toc352691497"/>
      <w:bookmarkStart w:id="184" w:name="_Toc152042329"/>
      <w:bookmarkStart w:id="185" w:name="_Toc369531541"/>
      <w:bookmarkStart w:id="186" w:name="_Toc144974521"/>
      <w:r>
        <w:rPr>
          <w:rFonts w:hint="eastAsia" w:ascii="宋体" w:hAnsi="宋体" w:cs="宋体"/>
          <w:szCs w:val="24"/>
        </w:rPr>
        <w:t>4 修改的内容为投标</w:t>
      </w:r>
      <w:bookmarkEnd w:id="176"/>
      <w:bookmarkEnd w:id="177"/>
      <w:bookmarkEnd w:id="178"/>
      <w:bookmarkEnd w:id="179"/>
      <w:bookmarkEnd w:id="180"/>
      <w:bookmarkEnd w:id="181"/>
      <w:bookmarkEnd w:id="182"/>
      <w:bookmarkEnd w:id="183"/>
      <w:bookmarkEnd w:id="184"/>
      <w:bookmarkEnd w:id="185"/>
      <w:bookmarkEnd w:id="186"/>
      <w:r>
        <w:rPr>
          <w:rFonts w:hint="eastAsia" w:ascii="宋体" w:hAnsi="宋体" w:cs="宋体"/>
          <w:szCs w:val="24"/>
        </w:rPr>
        <w:t>文件的组成部分。修改的投标文件应按照本章第3条、第4条的规定进行编制、密封、标记和递交，并标明“修改”字样。</w:t>
      </w:r>
    </w:p>
    <w:p>
      <w:pPr>
        <w:pStyle w:val="6"/>
        <w:rPr>
          <w:rFonts w:ascii="Arial" w:hAnsi="Arial"/>
        </w:rPr>
      </w:pPr>
      <w:bookmarkStart w:id="187" w:name="_Toc26259"/>
      <w:r>
        <w:rPr>
          <w:rFonts w:hint="eastAsia" w:ascii="Arial" w:hAnsi="Arial"/>
        </w:rPr>
        <w:t>5. 开标</w:t>
      </w:r>
      <w:bookmarkEnd w:id="187"/>
    </w:p>
    <w:p>
      <w:pPr>
        <w:pStyle w:val="6"/>
        <w:ind w:firstLine="137"/>
        <w:rPr>
          <w:rFonts w:ascii="宋体" w:hAnsi="宋体" w:eastAsia="宋体" w:cs="宋体"/>
          <w:sz w:val="24"/>
          <w:szCs w:val="24"/>
        </w:rPr>
      </w:pPr>
      <w:bookmarkStart w:id="188" w:name="_Toc21839"/>
      <w:r>
        <w:rPr>
          <w:rFonts w:hint="eastAsia" w:ascii="宋体" w:hAnsi="宋体" w:eastAsia="宋体" w:cs="宋体"/>
          <w:sz w:val="24"/>
          <w:szCs w:val="24"/>
        </w:rPr>
        <w:t>5.1 开标时间和地点</w:t>
      </w:r>
      <w:bookmarkEnd w:id="188"/>
    </w:p>
    <w:p>
      <w:pPr>
        <w:ind w:firstLine="480"/>
        <w:rPr>
          <w:rFonts w:ascii="宋体" w:hAnsi="宋体" w:cs="宋体"/>
          <w:szCs w:val="24"/>
        </w:rPr>
      </w:pPr>
      <w:r>
        <w:rPr>
          <w:rFonts w:hint="eastAsia" w:ascii="宋体" w:hAnsi="宋体" w:cs="宋体"/>
          <w:szCs w:val="24"/>
        </w:rPr>
        <w:t>招标人在本章第4.2.1项规定的投标截止时间（开标时间）和投标人须知前附表规定的地点公开开标，并邀请所有投标人的法定代表人 或其委托代理人准时参加。</w:t>
      </w:r>
    </w:p>
    <w:p>
      <w:pPr>
        <w:pStyle w:val="6"/>
        <w:ind w:firstLine="137"/>
        <w:rPr>
          <w:rFonts w:ascii="宋体" w:hAnsi="宋体" w:eastAsia="宋体" w:cs="宋体"/>
          <w:sz w:val="24"/>
          <w:szCs w:val="24"/>
        </w:rPr>
      </w:pPr>
      <w:bookmarkStart w:id="189" w:name="_Toc5093"/>
      <w:r>
        <w:rPr>
          <w:rFonts w:hint="eastAsia" w:ascii="宋体" w:hAnsi="宋体" w:eastAsia="宋体" w:cs="宋体"/>
          <w:sz w:val="24"/>
          <w:szCs w:val="24"/>
        </w:rPr>
        <w:t>5.2 开标程序</w:t>
      </w:r>
      <w:bookmarkEnd w:id="189"/>
    </w:p>
    <w:p>
      <w:pPr>
        <w:ind w:firstLine="480"/>
        <w:rPr>
          <w:rFonts w:ascii="宋体" w:hAnsi="宋体" w:cs="宋体"/>
          <w:szCs w:val="24"/>
        </w:rPr>
      </w:pPr>
      <w:r>
        <w:rPr>
          <w:rFonts w:hint="eastAsia" w:ascii="宋体" w:hAnsi="宋体" w:cs="宋体"/>
          <w:szCs w:val="24"/>
        </w:rPr>
        <w:t>主持人按下列程序进行开标：</w:t>
      </w:r>
    </w:p>
    <w:p>
      <w:pPr>
        <w:ind w:firstLine="480"/>
        <w:rPr>
          <w:rFonts w:ascii="宋体" w:hAnsi="宋体" w:cs="宋体"/>
          <w:szCs w:val="24"/>
        </w:rPr>
      </w:pPr>
      <w:r>
        <w:rPr>
          <w:rFonts w:hint="eastAsia" w:ascii="宋体" w:hAnsi="宋体" w:cs="宋体"/>
          <w:szCs w:val="24"/>
        </w:rPr>
        <w:t>（1）宣布开标纪律；</w:t>
      </w:r>
    </w:p>
    <w:p>
      <w:pPr>
        <w:ind w:firstLine="480"/>
        <w:rPr>
          <w:rFonts w:ascii="宋体" w:hAnsi="宋体" w:cs="宋体"/>
          <w:szCs w:val="24"/>
        </w:rPr>
      </w:pPr>
      <w:r>
        <w:rPr>
          <w:rFonts w:hint="eastAsia" w:ascii="宋体" w:hAnsi="宋体" w:cs="宋体"/>
          <w:szCs w:val="24"/>
        </w:rPr>
        <w:t>（2）公布在投标截止时间前递交投标文件的投标人名称；</w:t>
      </w:r>
    </w:p>
    <w:p>
      <w:pPr>
        <w:ind w:firstLine="480"/>
        <w:rPr>
          <w:rFonts w:ascii="宋体" w:hAnsi="宋体" w:cs="宋体"/>
          <w:szCs w:val="24"/>
        </w:rPr>
      </w:pPr>
      <w:r>
        <w:rPr>
          <w:rFonts w:hint="eastAsia" w:ascii="宋体" w:hAnsi="宋体" w:cs="宋体"/>
          <w:szCs w:val="24"/>
        </w:rPr>
        <w:t>（3）宣布</w:t>
      </w:r>
      <w:bookmarkStart w:id="190" w:name="_Toc300834975"/>
      <w:bookmarkStart w:id="191" w:name="_Toc247513978"/>
      <w:bookmarkStart w:id="192" w:name="_Toc361508611"/>
      <w:bookmarkStart w:id="193" w:name="_Toc369531542"/>
      <w:bookmarkStart w:id="194" w:name="_Toc152045554"/>
      <w:bookmarkStart w:id="195" w:name="_Toc152042330"/>
      <w:bookmarkStart w:id="196" w:name="_Toc384308236"/>
      <w:bookmarkStart w:id="197" w:name="_Toc247527579"/>
      <w:bookmarkStart w:id="198" w:name="_Toc22119"/>
      <w:bookmarkStart w:id="199" w:name="_Toc352691498"/>
      <w:bookmarkStart w:id="200" w:name="_Toc144974522"/>
      <w:r>
        <w:rPr>
          <w:rFonts w:hint="eastAsia" w:ascii="宋体" w:hAnsi="宋体" w:cs="宋体"/>
          <w:szCs w:val="24"/>
        </w:rPr>
        <w:t>开标人、唱标人、记录人</w:t>
      </w:r>
      <w:bookmarkEnd w:id="190"/>
      <w:bookmarkEnd w:id="191"/>
      <w:bookmarkEnd w:id="192"/>
      <w:bookmarkEnd w:id="193"/>
      <w:bookmarkEnd w:id="194"/>
      <w:bookmarkEnd w:id="195"/>
      <w:bookmarkEnd w:id="196"/>
      <w:bookmarkEnd w:id="197"/>
      <w:bookmarkEnd w:id="198"/>
      <w:bookmarkEnd w:id="199"/>
      <w:bookmarkEnd w:id="200"/>
      <w:r>
        <w:rPr>
          <w:rFonts w:hint="eastAsia" w:ascii="宋体" w:hAnsi="宋体" w:cs="宋体"/>
          <w:szCs w:val="24"/>
        </w:rPr>
        <w:t>、监标人等有关人员姓名；</w:t>
      </w:r>
    </w:p>
    <w:p>
      <w:pPr>
        <w:ind w:firstLine="480"/>
        <w:rPr>
          <w:rFonts w:ascii="宋体" w:hAnsi="宋体" w:cs="宋体"/>
          <w:szCs w:val="24"/>
        </w:rPr>
      </w:pPr>
      <w:r>
        <w:rPr>
          <w:rFonts w:hint="eastAsia" w:ascii="宋体" w:hAnsi="宋体" w:cs="宋体"/>
          <w:szCs w:val="24"/>
        </w:rPr>
        <w:t>（4）检查投标文件的密封情况，按照投标人须知前附表规定的开标顺序当众开标，公布招标项目名称、投标人名称、投标保证金的递交情况、投标报价、交货期、交货地点及其他内容，并记录在案；</w:t>
      </w:r>
    </w:p>
    <w:p>
      <w:pPr>
        <w:ind w:firstLine="480"/>
        <w:rPr>
          <w:rFonts w:ascii="宋体" w:hAnsi="宋体" w:cs="宋体"/>
          <w:szCs w:val="24"/>
        </w:rPr>
      </w:pPr>
      <w:r>
        <w:rPr>
          <w:rFonts w:hint="eastAsia" w:ascii="宋体" w:hAnsi="宋体" w:cs="宋体"/>
          <w:szCs w:val="24"/>
        </w:rPr>
        <w:t>（5）投标人代表、招标人代表、监标人、记录人等有关人员在开标记录上签字确认；</w:t>
      </w:r>
    </w:p>
    <w:p>
      <w:pPr>
        <w:ind w:firstLine="480"/>
        <w:rPr>
          <w:rFonts w:ascii="宋体" w:hAnsi="宋体" w:cs="宋体"/>
          <w:szCs w:val="24"/>
        </w:rPr>
      </w:pPr>
      <w:r>
        <w:rPr>
          <w:rFonts w:hint="eastAsia" w:ascii="宋体" w:hAnsi="宋体" w:cs="宋体"/>
          <w:szCs w:val="24"/>
        </w:rPr>
        <w:t>（6）开标结束。</w:t>
      </w:r>
    </w:p>
    <w:p>
      <w:pPr>
        <w:pStyle w:val="6"/>
        <w:ind w:firstLine="137"/>
        <w:rPr>
          <w:rFonts w:ascii="宋体" w:hAnsi="宋体" w:eastAsia="宋体" w:cs="宋体"/>
          <w:sz w:val="24"/>
          <w:szCs w:val="24"/>
        </w:rPr>
      </w:pPr>
      <w:bookmarkStart w:id="201" w:name="_Toc25203"/>
      <w:r>
        <w:rPr>
          <w:rFonts w:hint="eastAsia" w:ascii="宋体" w:hAnsi="宋体" w:eastAsia="宋体" w:cs="宋体"/>
          <w:sz w:val="24"/>
          <w:szCs w:val="24"/>
        </w:rPr>
        <w:t>5.3 开标异议</w:t>
      </w:r>
      <w:bookmarkEnd w:id="201"/>
    </w:p>
    <w:p>
      <w:pPr>
        <w:ind w:firstLine="410" w:firstLineChars="171"/>
        <w:rPr>
          <w:rFonts w:ascii="宋体" w:hAnsi="宋体" w:cs="宋体"/>
          <w:szCs w:val="24"/>
        </w:rPr>
      </w:pPr>
      <w:r>
        <w:rPr>
          <w:rFonts w:hint="eastAsia" w:ascii="宋体" w:hAnsi="宋体" w:cs="宋体"/>
          <w:szCs w:val="24"/>
        </w:rPr>
        <w:t>投标人对开标有异议的，应当在开标现场提出，招标人当场作出答复，并制作记录。</w:t>
      </w:r>
    </w:p>
    <w:p>
      <w:pPr>
        <w:pStyle w:val="6"/>
        <w:rPr>
          <w:rFonts w:ascii="Arial" w:hAnsi="Arial"/>
        </w:rPr>
      </w:pPr>
      <w:bookmarkStart w:id="202" w:name="_Toc6089"/>
      <w:r>
        <w:rPr>
          <w:rFonts w:hint="eastAsia" w:ascii="Arial" w:hAnsi="Arial"/>
        </w:rPr>
        <w:t>6. 评标</w:t>
      </w:r>
      <w:bookmarkEnd w:id="202"/>
    </w:p>
    <w:p>
      <w:pPr>
        <w:pStyle w:val="6"/>
        <w:ind w:firstLine="137"/>
        <w:rPr>
          <w:rFonts w:ascii="宋体" w:hAnsi="宋体" w:eastAsia="宋体" w:cs="宋体"/>
          <w:sz w:val="24"/>
          <w:szCs w:val="24"/>
        </w:rPr>
      </w:pPr>
      <w:bookmarkStart w:id="203" w:name="_Toc5361"/>
      <w:r>
        <w:rPr>
          <w:rFonts w:hint="eastAsia" w:ascii="宋体" w:hAnsi="宋体" w:eastAsia="宋体" w:cs="宋体"/>
          <w:sz w:val="24"/>
          <w:szCs w:val="24"/>
        </w:rPr>
        <w:t>6.1 评标委员会</w:t>
      </w:r>
      <w:bookmarkEnd w:id="203"/>
    </w:p>
    <w:p>
      <w:pPr>
        <w:ind w:firstLine="480"/>
        <w:rPr>
          <w:rFonts w:ascii="宋体" w:hAnsi="宋体" w:cs="宋体"/>
          <w:szCs w:val="24"/>
        </w:rPr>
      </w:pPr>
      <w:r>
        <w:rPr>
          <w:rFonts w:hint="eastAsia" w:ascii="宋体" w:hAnsi="宋体" w:cs="宋体"/>
          <w:szCs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ind w:firstLine="480"/>
        <w:rPr>
          <w:rFonts w:ascii="宋体" w:hAnsi="宋体" w:cs="宋体"/>
          <w:szCs w:val="24"/>
        </w:rPr>
      </w:pPr>
      <w:r>
        <w:rPr>
          <w:rFonts w:hint="eastAsia" w:ascii="宋体" w:hAnsi="宋体" w:cs="宋体"/>
          <w:szCs w:val="24"/>
        </w:rPr>
        <w:t>6.1.2 评标委员会成员有下列情形之一的，应当回避：</w:t>
      </w:r>
    </w:p>
    <w:p>
      <w:pPr>
        <w:ind w:firstLine="820" w:firstLineChars="342"/>
        <w:rPr>
          <w:rFonts w:ascii="宋体" w:hAnsi="宋体" w:cs="宋体"/>
          <w:szCs w:val="24"/>
        </w:rPr>
      </w:pPr>
      <w:r>
        <w:rPr>
          <w:rFonts w:hint="eastAsia" w:ascii="宋体" w:hAnsi="宋体" w:cs="宋体"/>
          <w:szCs w:val="24"/>
        </w:rPr>
        <w:t>（1）投标人或投标人主要负责人的近亲属；</w:t>
      </w:r>
    </w:p>
    <w:p>
      <w:pPr>
        <w:ind w:firstLine="820" w:firstLineChars="342"/>
        <w:rPr>
          <w:rFonts w:ascii="宋体" w:hAnsi="宋体" w:cs="宋体"/>
          <w:szCs w:val="24"/>
        </w:rPr>
      </w:pPr>
      <w:r>
        <w:rPr>
          <w:rFonts w:hint="eastAsia" w:ascii="宋体" w:hAnsi="宋体" w:cs="宋体"/>
          <w:szCs w:val="24"/>
        </w:rPr>
        <w:t>（2）项目主管部门或者行政监督部门的人员；</w:t>
      </w:r>
    </w:p>
    <w:p>
      <w:pPr>
        <w:ind w:firstLine="820" w:firstLineChars="342"/>
        <w:rPr>
          <w:rFonts w:ascii="宋体" w:hAnsi="宋体" w:cs="宋体"/>
          <w:szCs w:val="24"/>
        </w:rPr>
      </w:pPr>
      <w:r>
        <w:rPr>
          <w:rFonts w:hint="eastAsia" w:ascii="宋体" w:hAnsi="宋体" w:cs="宋体"/>
          <w:szCs w:val="24"/>
        </w:rPr>
        <w:t>（3）与投标人有经济利益关系，可能影响对投标公正评审的；</w:t>
      </w:r>
    </w:p>
    <w:p>
      <w:pPr>
        <w:ind w:firstLine="820" w:firstLineChars="342"/>
        <w:rPr>
          <w:rFonts w:ascii="宋体" w:hAnsi="宋体" w:cs="宋体"/>
          <w:szCs w:val="24"/>
        </w:rPr>
      </w:pPr>
      <w:r>
        <w:rPr>
          <w:rFonts w:hint="eastAsia" w:ascii="宋体" w:hAnsi="宋体" w:cs="宋体"/>
          <w:szCs w:val="24"/>
        </w:rPr>
        <w:t>（4）曾因在招标、评</w:t>
      </w:r>
      <w:bookmarkStart w:id="204" w:name="_Toc247513979"/>
      <w:bookmarkStart w:id="205" w:name="_Toc247527580"/>
      <w:bookmarkStart w:id="206" w:name="_Toc6230"/>
      <w:bookmarkStart w:id="207" w:name="_Toc361508612"/>
      <w:bookmarkStart w:id="208" w:name="_Toc369531543"/>
      <w:bookmarkStart w:id="209" w:name="_Toc152042331"/>
      <w:bookmarkStart w:id="210" w:name="_Toc384308237"/>
      <w:bookmarkStart w:id="211" w:name="_Toc144974523"/>
      <w:bookmarkStart w:id="212" w:name="_Toc300834976"/>
      <w:bookmarkStart w:id="213" w:name="_Toc352691499"/>
      <w:bookmarkStart w:id="214" w:name="_Toc152045555"/>
      <w:r>
        <w:rPr>
          <w:rFonts w:hint="eastAsia" w:ascii="宋体" w:hAnsi="宋体" w:cs="宋体"/>
          <w:szCs w:val="24"/>
        </w:rPr>
        <w:t>标以及其他</w:t>
      </w:r>
      <w:bookmarkEnd w:id="204"/>
      <w:bookmarkEnd w:id="205"/>
      <w:bookmarkEnd w:id="206"/>
      <w:bookmarkEnd w:id="207"/>
      <w:bookmarkEnd w:id="208"/>
      <w:bookmarkEnd w:id="209"/>
      <w:bookmarkEnd w:id="210"/>
      <w:bookmarkEnd w:id="211"/>
      <w:bookmarkEnd w:id="212"/>
      <w:bookmarkEnd w:id="213"/>
      <w:bookmarkEnd w:id="214"/>
      <w:r>
        <w:rPr>
          <w:rFonts w:hint="eastAsia" w:ascii="宋体" w:hAnsi="宋体" w:cs="宋体"/>
          <w:szCs w:val="24"/>
        </w:rPr>
        <w:t>与</w:t>
      </w:r>
      <w:bookmarkStart w:id="215" w:name="_Toc384308238"/>
      <w:bookmarkStart w:id="216" w:name="_Toc361508613"/>
      <w:bookmarkStart w:id="217" w:name="_Toc152045556"/>
      <w:bookmarkStart w:id="218" w:name="_Toc144974524"/>
      <w:bookmarkStart w:id="219" w:name="_Toc17703"/>
      <w:bookmarkStart w:id="220" w:name="_Toc369531544"/>
      <w:bookmarkStart w:id="221" w:name="_Toc247527581"/>
      <w:bookmarkStart w:id="222" w:name="_Toc352691500"/>
      <w:bookmarkStart w:id="223" w:name="_Toc300834977"/>
      <w:bookmarkStart w:id="224" w:name="_Toc247513980"/>
      <w:bookmarkStart w:id="225" w:name="_Toc152042332"/>
      <w:r>
        <w:rPr>
          <w:rFonts w:hint="eastAsia" w:ascii="宋体" w:hAnsi="宋体" w:cs="宋体"/>
          <w:szCs w:val="24"/>
        </w:rPr>
        <w:t>招标投标有关活动中从事违法行</w:t>
      </w:r>
      <w:bookmarkEnd w:id="215"/>
      <w:bookmarkEnd w:id="216"/>
      <w:bookmarkEnd w:id="217"/>
      <w:bookmarkEnd w:id="218"/>
      <w:bookmarkEnd w:id="219"/>
      <w:bookmarkEnd w:id="220"/>
      <w:bookmarkEnd w:id="221"/>
      <w:bookmarkEnd w:id="222"/>
      <w:bookmarkEnd w:id="223"/>
      <w:bookmarkEnd w:id="224"/>
      <w:bookmarkEnd w:id="225"/>
      <w:r>
        <w:rPr>
          <w:rFonts w:hint="eastAsia" w:ascii="宋体" w:hAnsi="宋体" w:cs="宋体"/>
          <w:szCs w:val="24"/>
        </w:rPr>
        <w:t>为而受过行政处罚或刑事处罚的；</w:t>
      </w:r>
    </w:p>
    <w:p>
      <w:pPr>
        <w:ind w:firstLine="820" w:firstLineChars="342"/>
        <w:rPr>
          <w:rFonts w:ascii="宋体" w:hAnsi="宋体" w:cs="宋体"/>
          <w:szCs w:val="24"/>
        </w:rPr>
      </w:pPr>
      <w:r>
        <w:rPr>
          <w:rFonts w:hint="eastAsia" w:ascii="宋体" w:hAnsi="宋体" w:cs="宋体"/>
          <w:szCs w:val="24"/>
        </w:rPr>
        <w:t>（5）与投标人有其他利害关系。</w:t>
      </w:r>
    </w:p>
    <w:p>
      <w:pPr>
        <w:ind w:firstLine="480"/>
        <w:rPr>
          <w:rFonts w:ascii="宋体" w:hAnsi="宋体" w:cs="宋体"/>
          <w:szCs w:val="24"/>
        </w:rPr>
      </w:pPr>
      <w:r>
        <w:rPr>
          <w:rFonts w:hint="eastAsia" w:ascii="宋体" w:hAnsi="宋体" w:cs="宋体"/>
          <w:szCs w:val="24"/>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6"/>
        <w:ind w:firstLine="137"/>
        <w:rPr>
          <w:rFonts w:ascii="宋体" w:hAnsi="宋体" w:eastAsia="宋体" w:cs="宋体"/>
          <w:sz w:val="24"/>
          <w:szCs w:val="24"/>
        </w:rPr>
      </w:pPr>
      <w:bookmarkStart w:id="226" w:name="_Toc1389"/>
      <w:r>
        <w:rPr>
          <w:rFonts w:hint="eastAsia" w:ascii="宋体" w:hAnsi="宋体" w:eastAsia="宋体" w:cs="宋体"/>
          <w:sz w:val="24"/>
          <w:szCs w:val="24"/>
        </w:rPr>
        <w:t>6.2 评标原则</w:t>
      </w:r>
      <w:bookmarkEnd w:id="226"/>
    </w:p>
    <w:p>
      <w:pPr>
        <w:ind w:firstLine="480"/>
        <w:rPr>
          <w:rFonts w:ascii="宋体" w:hAnsi="宋体" w:cs="宋体"/>
          <w:szCs w:val="24"/>
        </w:rPr>
      </w:pPr>
      <w:r>
        <w:rPr>
          <w:rFonts w:hint="eastAsia" w:ascii="宋体" w:hAnsi="宋体" w:cs="宋体"/>
          <w:szCs w:val="24"/>
        </w:rPr>
        <w:t>评标活动遵循公平、公正、科学和择优的原</w:t>
      </w:r>
      <w:bookmarkStart w:id="227" w:name="_Toc152045557"/>
      <w:bookmarkStart w:id="228" w:name="_Toc369531545"/>
      <w:bookmarkStart w:id="229" w:name="_Toc152042333"/>
      <w:bookmarkStart w:id="230" w:name="_Toc18949"/>
      <w:bookmarkStart w:id="231" w:name="_Toc361508614"/>
      <w:bookmarkStart w:id="232" w:name="_Toc300834978"/>
      <w:bookmarkStart w:id="233" w:name="_Toc144974525"/>
      <w:bookmarkStart w:id="234" w:name="_Toc384308239"/>
      <w:bookmarkStart w:id="235" w:name="_Toc352691501"/>
      <w:bookmarkStart w:id="236" w:name="_Toc247513981"/>
      <w:bookmarkStart w:id="237" w:name="_Toc247527582"/>
      <w:r>
        <w:rPr>
          <w:rFonts w:hint="eastAsia" w:ascii="宋体" w:hAnsi="宋体" w:cs="宋体"/>
          <w:szCs w:val="24"/>
        </w:rPr>
        <w:t>则。</w:t>
      </w:r>
    </w:p>
    <w:p>
      <w:pPr>
        <w:pStyle w:val="6"/>
        <w:ind w:firstLine="137"/>
        <w:rPr>
          <w:rFonts w:ascii="宋体" w:hAnsi="宋体" w:eastAsia="宋体" w:cs="宋体"/>
          <w:sz w:val="24"/>
          <w:szCs w:val="24"/>
        </w:rPr>
      </w:pPr>
      <w:bookmarkStart w:id="238" w:name="_Toc32203"/>
      <w:r>
        <w:rPr>
          <w:rFonts w:hint="eastAsia" w:ascii="宋体" w:hAnsi="宋体" w:eastAsia="宋体" w:cs="宋体"/>
          <w:sz w:val="24"/>
          <w:szCs w:val="24"/>
        </w:rPr>
        <w:t>6.3 评标</w:t>
      </w:r>
      <w:bookmarkEnd w:id="238"/>
    </w:p>
    <w:p>
      <w:pPr>
        <w:ind w:firstLine="480"/>
        <w:rPr>
          <w:rFonts w:ascii="宋体" w:hAnsi="宋体" w:cs="宋体"/>
          <w:szCs w:val="24"/>
        </w:rPr>
      </w:pPr>
      <w:r>
        <w:rPr>
          <w:rFonts w:hint="eastAsia" w:ascii="宋体" w:hAnsi="宋体" w:cs="宋体"/>
          <w:szCs w:val="24"/>
        </w:rPr>
        <w:t>6</w:t>
      </w:r>
      <w:bookmarkEnd w:id="227"/>
      <w:bookmarkEnd w:id="228"/>
      <w:bookmarkEnd w:id="229"/>
      <w:bookmarkEnd w:id="230"/>
      <w:bookmarkEnd w:id="231"/>
      <w:bookmarkEnd w:id="232"/>
      <w:bookmarkEnd w:id="233"/>
      <w:bookmarkEnd w:id="234"/>
      <w:bookmarkEnd w:id="235"/>
      <w:bookmarkEnd w:id="236"/>
      <w:bookmarkEnd w:id="237"/>
      <w:r>
        <w:rPr>
          <w:rFonts w:hint="eastAsia" w:ascii="宋体" w:hAnsi="宋体" w:cs="宋体"/>
          <w:szCs w:val="24"/>
        </w:rPr>
        <w:t>.3.1评标委员会按照第三章“评标办法”规定的方法、评审因素、标准和程序对投标文件进行评审。第三章“评标办法”没有规定的方法、评审因素和标准，不作为评标依据。</w:t>
      </w:r>
    </w:p>
    <w:p>
      <w:pPr>
        <w:ind w:firstLine="480"/>
        <w:rPr>
          <w:rFonts w:ascii="宋体" w:hAnsi="宋体" w:cs="宋体"/>
          <w:szCs w:val="24"/>
        </w:rPr>
      </w:pPr>
      <w:r>
        <w:rPr>
          <w:rFonts w:hint="eastAsia" w:ascii="宋体" w:hAnsi="宋体" w:cs="宋体"/>
          <w:szCs w:val="24"/>
        </w:rPr>
        <w:t>6.3.2评标完成后，评标委员会应当向招标人提交书面评标报告和中标候选人名单。评标委员会推荐中标</w:t>
      </w:r>
      <w:bookmarkStart w:id="239" w:name="_Toc384308240"/>
      <w:bookmarkStart w:id="240" w:name="_Toc247527583"/>
      <w:bookmarkStart w:id="241" w:name="_Toc352691502"/>
      <w:bookmarkStart w:id="242" w:name="_Toc152042334"/>
      <w:bookmarkStart w:id="243" w:name="_Toc300834979"/>
      <w:bookmarkStart w:id="244" w:name="_Toc361508615"/>
      <w:bookmarkStart w:id="245" w:name="_Toc12259"/>
      <w:bookmarkStart w:id="246" w:name="_Toc144974526"/>
      <w:bookmarkStart w:id="247" w:name="_Toc247513982"/>
      <w:bookmarkStart w:id="248" w:name="_Toc152045558"/>
      <w:bookmarkStart w:id="249" w:name="_Toc369531546"/>
      <w:r>
        <w:rPr>
          <w:rFonts w:hint="eastAsia" w:ascii="宋体" w:hAnsi="宋体" w:cs="宋体"/>
          <w:szCs w:val="24"/>
        </w:rPr>
        <w:t>候选人的人数见投标人须知前附</w:t>
      </w:r>
      <w:bookmarkEnd w:id="239"/>
      <w:bookmarkEnd w:id="240"/>
      <w:bookmarkEnd w:id="241"/>
      <w:bookmarkEnd w:id="242"/>
      <w:bookmarkEnd w:id="243"/>
      <w:bookmarkEnd w:id="244"/>
      <w:bookmarkEnd w:id="245"/>
      <w:bookmarkEnd w:id="246"/>
      <w:bookmarkEnd w:id="247"/>
      <w:bookmarkEnd w:id="248"/>
      <w:bookmarkEnd w:id="249"/>
      <w:r>
        <w:rPr>
          <w:rFonts w:hint="eastAsia" w:ascii="宋体" w:hAnsi="宋体" w:cs="宋体"/>
          <w:szCs w:val="24"/>
        </w:rPr>
        <w:t>表。</w:t>
      </w:r>
    </w:p>
    <w:p>
      <w:pPr>
        <w:pStyle w:val="6"/>
        <w:rPr>
          <w:rFonts w:ascii="Arial" w:hAnsi="Arial"/>
        </w:rPr>
      </w:pPr>
      <w:bookmarkStart w:id="250" w:name="_Toc29227"/>
      <w:r>
        <w:rPr>
          <w:rFonts w:hint="eastAsia" w:ascii="Arial" w:hAnsi="Arial"/>
        </w:rPr>
        <w:t>7. 合同授予</w:t>
      </w:r>
      <w:bookmarkEnd w:id="250"/>
    </w:p>
    <w:p>
      <w:pPr>
        <w:pStyle w:val="6"/>
        <w:ind w:firstLine="137"/>
        <w:rPr>
          <w:rFonts w:ascii="宋体" w:hAnsi="宋体" w:eastAsia="宋体" w:cs="宋体"/>
          <w:sz w:val="24"/>
          <w:szCs w:val="24"/>
        </w:rPr>
      </w:pPr>
      <w:bookmarkStart w:id="251" w:name="_Toc3022"/>
      <w:r>
        <w:rPr>
          <w:rFonts w:hint="eastAsia" w:ascii="宋体" w:hAnsi="宋体" w:eastAsia="宋体" w:cs="宋体"/>
          <w:sz w:val="24"/>
          <w:szCs w:val="24"/>
        </w:rPr>
        <w:t>7.1 中标候选人公示</w:t>
      </w:r>
      <w:bookmarkEnd w:id="251"/>
    </w:p>
    <w:p>
      <w:pPr>
        <w:ind w:firstLine="480"/>
        <w:rPr>
          <w:rFonts w:ascii="宋体" w:hAnsi="宋体" w:cs="宋体"/>
          <w:szCs w:val="24"/>
        </w:rPr>
      </w:pPr>
      <w:r>
        <w:rPr>
          <w:rFonts w:hint="eastAsia" w:ascii="宋体" w:hAnsi="宋体" w:cs="宋体"/>
          <w:szCs w:val="24"/>
        </w:rPr>
        <w:t>招标人在收到评标报告之日起3日内，按照投标人须知前附表规定的公示媒介和期限公示中标候选人，公示期不得少于3天。</w:t>
      </w:r>
    </w:p>
    <w:p>
      <w:pPr>
        <w:pStyle w:val="6"/>
        <w:ind w:firstLine="137"/>
        <w:rPr>
          <w:rFonts w:ascii="宋体" w:hAnsi="宋体" w:eastAsia="宋体" w:cs="宋体"/>
          <w:sz w:val="24"/>
          <w:szCs w:val="24"/>
        </w:rPr>
      </w:pPr>
      <w:bookmarkStart w:id="252" w:name="_Toc27920"/>
      <w:r>
        <w:rPr>
          <w:rFonts w:hint="eastAsia" w:ascii="宋体" w:hAnsi="宋体" w:eastAsia="宋体" w:cs="宋体"/>
          <w:sz w:val="24"/>
          <w:szCs w:val="24"/>
        </w:rPr>
        <w:t>7.2 评标结果异议</w:t>
      </w:r>
      <w:bookmarkEnd w:id="252"/>
    </w:p>
    <w:p>
      <w:pPr>
        <w:ind w:firstLine="480"/>
        <w:rPr>
          <w:rFonts w:ascii="宋体" w:hAnsi="宋体" w:cs="宋体"/>
          <w:szCs w:val="24"/>
        </w:rPr>
      </w:pPr>
      <w:r>
        <w:rPr>
          <w:rFonts w:hint="eastAsia" w:ascii="宋体" w:hAnsi="宋体" w:cs="宋体"/>
          <w:szCs w:val="24"/>
        </w:rPr>
        <w:t>投标人或者其他利</w:t>
      </w:r>
      <w:bookmarkStart w:id="253" w:name="_Toc247527586"/>
      <w:bookmarkStart w:id="254" w:name="_Toc300834982"/>
      <w:bookmarkStart w:id="255" w:name="_Toc144974529"/>
      <w:bookmarkStart w:id="256" w:name="_Toc352691505"/>
      <w:bookmarkStart w:id="257" w:name="_Toc384308243"/>
      <w:bookmarkStart w:id="258" w:name="_Toc361508618"/>
      <w:bookmarkStart w:id="259" w:name="_Toc369531549"/>
      <w:bookmarkStart w:id="260" w:name="_Toc152045561"/>
      <w:bookmarkStart w:id="261" w:name="_Toc30095"/>
      <w:bookmarkStart w:id="262" w:name="_Toc152042337"/>
      <w:bookmarkStart w:id="263" w:name="_Toc247513985"/>
      <w:r>
        <w:rPr>
          <w:rFonts w:hint="eastAsia" w:ascii="宋体" w:hAnsi="宋体" w:cs="宋体"/>
          <w:szCs w:val="24"/>
        </w:rPr>
        <w:t>害关系人对评标结</w:t>
      </w:r>
      <w:bookmarkEnd w:id="253"/>
      <w:bookmarkEnd w:id="254"/>
      <w:bookmarkEnd w:id="255"/>
      <w:bookmarkEnd w:id="256"/>
      <w:bookmarkEnd w:id="257"/>
      <w:bookmarkEnd w:id="258"/>
      <w:bookmarkEnd w:id="259"/>
      <w:bookmarkEnd w:id="260"/>
      <w:bookmarkEnd w:id="261"/>
      <w:bookmarkEnd w:id="262"/>
      <w:bookmarkEnd w:id="263"/>
      <w:r>
        <w:rPr>
          <w:rFonts w:hint="eastAsia" w:ascii="宋体" w:hAnsi="宋体" w:cs="宋体"/>
          <w:szCs w:val="24"/>
        </w:rPr>
        <w:t>果有异议的，应当在中标候选人公示期间提出。招标人将在收到异议之日起3日内作出答复；作出答复前，将暂停招标投标活动。</w:t>
      </w:r>
    </w:p>
    <w:p>
      <w:pPr>
        <w:pStyle w:val="6"/>
        <w:ind w:firstLine="137"/>
        <w:rPr>
          <w:rFonts w:ascii="宋体" w:hAnsi="宋体" w:eastAsia="宋体" w:cs="宋体"/>
          <w:sz w:val="24"/>
          <w:szCs w:val="24"/>
        </w:rPr>
      </w:pPr>
      <w:bookmarkStart w:id="264" w:name="_Toc18299"/>
      <w:r>
        <w:rPr>
          <w:rFonts w:hint="eastAsia" w:ascii="宋体" w:hAnsi="宋体" w:eastAsia="宋体" w:cs="宋体"/>
          <w:sz w:val="24"/>
          <w:szCs w:val="24"/>
        </w:rPr>
        <w:t>7.3 中标候选人履约能力审查</w:t>
      </w:r>
      <w:bookmarkEnd w:id="264"/>
    </w:p>
    <w:p>
      <w:pPr>
        <w:ind w:firstLine="480"/>
        <w:rPr>
          <w:rFonts w:ascii="宋体" w:hAnsi="宋体" w:cs="宋体"/>
          <w:szCs w:val="24"/>
        </w:rPr>
      </w:pPr>
      <w:r>
        <w:rPr>
          <w:rFonts w:hint="eastAsia" w:ascii="宋体" w:hAnsi="宋体" w:cs="宋体"/>
          <w:szCs w:val="24"/>
        </w:rPr>
        <w:t>中标候选人的经营、财务状况发生较大变化或存在违法行为，招标人认为可能影响其履约能力的，将在发出中标通知书前提请原评标委员会按照招标文件规定的标准和方法进行审查确认。</w:t>
      </w:r>
    </w:p>
    <w:p>
      <w:pPr>
        <w:pStyle w:val="6"/>
        <w:ind w:firstLine="137"/>
        <w:rPr>
          <w:rFonts w:ascii="宋体" w:hAnsi="宋体" w:eastAsia="宋体" w:cs="宋体"/>
          <w:sz w:val="24"/>
          <w:szCs w:val="24"/>
        </w:rPr>
      </w:pPr>
      <w:bookmarkStart w:id="265" w:name="_Toc25496"/>
      <w:r>
        <w:rPr>
          <w:rFonts w:hint="eastAsia" w:ascii="宋体" w:hAnsi="宋体" w:eastAsia="宋体" w:cs="宋体"/>
          <w:sz w:val="24"/>
          <w:szCs w:val="24"/>
        </w:rPr>
        <w:t>7.4 定标</w:t>
      </w:r>
      <w:bookmarkEnd w:id="265"/>
    </w:p>
    <w:p>
      <w:pPr>
        <w:ind w:firstLine="480"/>
        <w:rPr>
          <w:rFonts w:ascii="宋体" w:hAnsi="宋体" w:cs="宋体"/>
          <w:szCs w:val="24"/>
        </w:rPr>
      </w:pPr>
      <w:r>
        <w:rPr>
          <w:rFonts w:hint="eastAsia" w:ascii="宋体" w:hAnsi="宋体" w:cs="宋体"/>
          <w:szCs w:val="24"/>
        </w:rPr>
        <w:t>按照投标人须知前附表的规定，招标人或招标人授权的评标委员会依法确定中标人。</w:t>
      </w:r>
    </w:p>
    <w:p>
      <w:pPr>
        <w:pStyle w:val="6"/>
        <w:ind w:firstLine="137"/>
        <w:rPr>
          <w:rFonts w:ascii="宋体" w:hAnsi="宋体" w:eastAsia="宋体" w:cs="宋体"/>
          <w:sz w:val="24"/>
          <w:szCs w:val="24"/>
        </w:rPr>
      </w:pPr>
      <w:bookmarkStart w:id="266" w:name="_Toc23382"/>
      <w:r>
        <w:rPr>
          <w:rFonts w:hint="eastAsia" w:ascii="宋体" w:hAnsi="宋体" w:eastAsia="宋体" w:cs="宋体"/>
          <w:sz w:val="24"/>
          <w:szCs w:val="24"/>
        </w:rPr>
        <w:t>7.5 中标通知</w:t>
      </w:r>
      <w:bookmarkEnd w:id="266"/>
    </w:p>
    <w:p>
      <w:pPr>
        <w:ind w:firstLine="480"/>
        <w:rPr>
          <w:rFonts w:ascii="宋体" w:hAnsi="宋体" w:cs="宋体"/>
          <w:szCs w:val="24"/>
        </w:rPr>
      </w:pPr>
      <w:r>
        <w:rPr>
          <w:rFonts w:hint="eastAsia" w:ascii="宋体" w:hAnsi="宋体" w:cs="宋体"/>
          <w:szCs w:val="24"/>
        </w:rPr>
        <w:t>在本章第3.3款规定的投标有效期内，招标人以书面形式向中标人发出中标</w:t>
      </w:r>
      <w:bookmarkStart w:id="267" w:name="_Toc352691506"/>
      <w:bookmarkStart w:id="268" w:name="_Toc361508619"/>
      <w:bookmarkStart w:id="269" w:name="_Toc5668"/>
      <w:bookmarkStart w:id="270" w:name="_Toc384308244"/>
      <w:bookmarkStart w:id="271" w:name="_Toc300834983"/>
      <w:bookmarkStart w:id="272" w:name="_Toc369531550"/>
      <w:r>
        <w:rPr>
          <w:rFonts w:hint="eastAsia" w:ascii="宋体" w:hAnsi="宋体" w:cs="宋体"/>
          <w:szCs w:val="24"/>
        </w:rPr>
        <w:t>通知书，同时将中</w:t>
      </w:r>
      <w:bookmarkEnd w:id="267"/>
      <w:bookmarkEnd w:id="268"/>
      <w:bookmarkEnd w:id="269"/>
      <w:bookmarkEnd w:id="270"/>
      <w:bookmarkEnd w:id="271"/>
      <w:bookmarkEnd w:id="272"/>
      <w:r>
        <w:rPr>
          <w:rFonts w:hint="eastAsia" w:ascii="宋体" w:hAnsi="宋体" w:cs="宋体"/>
          <w:szCs w:val="24"/>
        </w:rPr>
        <w:t>标结果通知未中标的投标人。</w:t>
      </w:r>
    </w:p>
    <w:p>
      <w:pPr>
        <w:pStyle w:val="6"/>
        <w:ind w:firstLine="137"/>
        <w:rPr>
          <w:rFonts w:ascii="宋体" w:hAnsi="宋体" w:eastAsia="宋体" w:cs="宋体"/>
          <w:sz w:val="24"/>
          <w:szCs w:val="24"/>
        </w:rPr>
      </w:pPr>
      <w:bookmarkStart w:id="273" w:name="_Toc25928"/>
      <w:r>
        <w:rPr>
          <w:rFonts w:hint="eastAsia" w:ascii="宋体" w:hAnsi="宋体" w:eastAsia="宋体" w:cs="宋体"/>
          <w:sz w:val="24"/>
          <w:szCs w:val="24"/>
        </w:rPr>
        <w:t>7.6 履约保证金</w:t>
      </w:r>
      <w:bookmarkEnd w:id="273"/>
    </w:p>
    <w:p>
      <w:pPr>
        <w:ind w:firstLine="480"/>
        <w:rPr>
          <w:rFonts w:ascii="宋体" w:hAnsi="宋体" w:cs="宋体"/>
          <w:szCs w:val="24"/>
        </w:rPr>
      </w:pPr>
      <w:r>
        <w:rPr>
          <w:rFonts w:hint="eastAsia" w:ascii="宋体" w:hAnsi="宋体" w:cs="宋体"/>
          <w:szCs w:val="24"/>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人民币5万元整。</w:t>
      </w:r>
    </w:p>
    <w:p>
      <w:pPr>
        <w:ind w:firstLine="480"/>
        <w:rPr>
          <w:rFonts w:ascii="宋体" w:hAnsi="宋体" w:cs="宋体"/>
          <w:szCs w:val="24"/>
        </w:rPr>
      </w:pPr>
      <w:r>
        <w:rPr>
          <w:rFonts w:hint="eastAsia" w:ascii="宋体" w:hAnsi="宋体" w:cs="宋体"/>
          <w:szCs w:val="24"/>
        </w:rPr>
        <w:t>7.6.2 中标人不能按本章第7.6.1项要求提交履约保证金的，视为放弃中标，其投标保证金不予退还，给招标人造成的损失超过投标保证金数额的，中标人还应当对超过部分予以赔偿。</w:t>
      </w:r>
    </w:p>
    <w:p>
      <w:pPr>
        <w:pStyle w:val="6"/>
        <w:ind w:firstLine="137"/>
        <w:rPr>
          <w:rFonts w:ascii="宋体" w:hAnsi="宋体" w:eastAsia="宋体" w:cs="宋体"/>
          <w:sz w:val="24"/>
          <w:szCs w:val="24"/>
        </w:rPr>
      </w:pPr>
      <w:bookmarkStart w:id="274" w:name="_Toc13214"/>
      <w:r>
        <w:rPr>
          <w:rFonts w:hint="eastAsia" w:ascii="宋体" w:hAnsi="宋体" w:eastAsia="宋体" w:cs="宋体"/>
          <w:sz w:val="24"/>
          <w:szCs w:val="24"/>
        </w:rPr>
        <w:t>7.7 签订合同</w:t>
      </w:r>
      <w:bookmarkEnd w:id="274"/>
    </w:p>
    <w:p>
      <w:pPr>
        <w:ind w:firstLine="480"/>
        <w:rPr>
          <w:rFonts w:ascii="宋体" w:hAnsi="宋体" w:cs="宋体"/>
          <w:szCs w:val="24"/>
        </w:rPr>
      </w:pPr>
      <w:r>
        <w:rPr>
          <w:rFonts w:hint="eastAsia" w:ascii="宋体" w:hAnsi="宋体" w:cs="宋体"/>
          <w:szCs w:val="24"/>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ind w:firstLine="480"/>
        <w:rPr>
          <w:rFonts w:ascii="宋体" w:hAnsi="宋体" w:cs="宋体"/>
          <w:szCs w:val="24"/>
        </w:rPr>
      </w:pPr>
      <w:r>
        <w:rPr>
          <w:rFonts w:hint="eastAsia" w:ascii="宋体" w:hAnsi="宋体" w:cs="宋体"/>
          <w:szCs w:val="24"/>
        </w:rPr>
        <w:t>7.7.2 发出中标通知书后，招标人无正当理由拒签合同，或者在签订合同时向中标人提出附加条件的，招标人向中标人退还投标保证金；给中标人造成损失的，还应当赔偿损失。</w:t>
      </w:r>
    </w:p>
    <w:p>
      <w:pPr>
        <w:pStyle w:val="6"/>
        <w:rPr>
          <w:rFonts w:ascii="Arial" w:hAnsi="Arial"/>
        </w:rPr>
      </w:pPr>
      <w:bookmarkStart w:id="275" w:name="_Toc384308252"/>
      <w:bookmarkStart w:id="276" w:name="_Toc361508627"/>
      <w:bookmarkStart w:id="277" w:name="_Toc24067"/>
      <w:bookmarkStart w:id="278" w:name="_Toc1289"/>
      <w:bookmarkStart w:id="279" w:name="_Toc152042344"/>
      <w:bookmarkStart w:id="280" w:name="_Toc300834991"/>
      <w:bookmarkStart w:id="281" w:name="_Toc144974536"/>
      <w:bookmarkStart w:id="282" w:name="_Toc152045568"/>
      <w:bookmarkStart w:id="283" w:name="_Toc247513992"/>
      <w:bookmarkStart w:id="284" w:name="_Toc247527593"/>
      <w:r>
        <w:rPr>
          <w:rFonts w:hint="eastAsia" w:ascii="Arial" w:hAnsi="Arial"/>
        </w:rPr>
        <w:t>8.</w:t>
      </w:r>
      <w:bookmarkEnd w:id="275"/>
      <w:bookmarkEnd w:id="276"/>
      <w:bookmarkEnd w:id="277"/>
      <w:r>
        <w:rPr>
          <w:rFonts w:hint="eastAsia" w:ascii="Arial" w:hAnsi="Arial"/>
        </w:rPr>
        <w:t>纪律和监督</w:t>
      </w:r>
      <w:bookmarkEnd w:id="278"/>
    </w:p>
    <w:p>
      <w:pPr>
        <w:pStyle w:val="6"/>
        <w:ind w:firstLine="137"/>
        <w:rPr>
          <w:rFonts w:ascii="宋体" w:hAnsi="宋体" w:eastAsia="宋体" w:cs="宋体"/>
          <w:sz w:val="24"/>
          <w:szCs w:val="24"/>
        </w:rPr>
      </w:pPr>
      <w:bookmarkStart w:id="285" w:name="_Toc6320"/>
      <w:r>
        <w:rPr>
          <w:rFonts w:hint="eastAsia" w:ascii="宋体" w:hAnsi="宋体" w:eastAsia="宋体" w:cs="宋体"/>
          <w:sz w:val="24"/>
          <w:szCs w:val="24"/>
        </w:rPr>
        <w:t>8.1 对招标人的纪律要求</w:t>
      </w:r>
      <w:bookmarkEnd w:id="285"/>
    </w:p>
    <w:p>
      <w:pPr>
        <w:ind w:firstLine="480"/>
        <w:rPr>
          <w:rFonts w:ascii="宋体" w:hAnsi="宋体" w:cs="宋体"/>
          <w:szCs w:val="24"/>
        </w:rPr>
      </w:pPr>
      <w:r>
        <w:rPr>
          <w:rFonts w:hint="eastAsia" w:ascii="宋体" w:hAnsi="宋体" w:cs="宋体"/>
          <w:szCs w:val="24"/>
        </w:rPr>
        <w:t>招标人不得泄露招标投标活动中应当保密的情况和资料，不得与投标人串通损害国家利益、社会公共利益或者他人合法权益。</w:t>
      </w:r>
    </w:p>
    <w:p>
      <w:pPr>
        <w:pStyle w:val="6"/>
        <w:ind w:firstLine="137"/>
        <w:rPr>
          <w:rFonts w:ascii="宋体" w:hAnsi="宋体" w:eastAsia="宋体" w:cs="宋体"/>
          <w:sz w:val="24"/>
          <w:szCs w:val="24"/>
        </w:rPr>
      </w:pPr>
      <w:bookmarkStart w:id="286" w:name="_Toc20085"/>
      <w:r>
        <w:rPr>
          <w:rFonts w:hint="eastAsia" w:ascii="宋体" w:hAnsi="宋体" w:eastAsia="宋体" w:cs="宋体"/>
          <w:sz w:val="24"/>
          <w:szCs w:val="24"/>
        </w:rPr>
        <w:t>8.2 对投标人的纪律要求</w:t>
      </w:r>
      <w:bookmarkEnd w:id="286"/>
    </w:p>
    <w:p>
      <w:pPr>
        <w:ind w:firstLine="480"/>
        <w:rPr>
          <w:rFonts w:ascii="宋体" w:hAnsi="宋体" w:cs="宋体"/>
          <w:szCs w:val="24"/>
        </w:rPr>
      </w:pPr>
      <w:r>
        <w:rPr>
          <w:rFonts w:hint="eastAsia" w:ascii="宋体" w:hAnsi="宋体" w:cs="宋体"/>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ind w:firstLine="137"/>
        <w:rPr>
          <w:rFonts w:ascii="宋体" w:hAnsi="宋体" w:eastAsia="宋体" w:cs="宋体"/>
          <w:sz w:val="24"/>
          <w:szCs w:val="24"/>
        </w:rPr>
      </w:pPr>
      <w:bookmarkStart w:id="287" w:name="_Toc426"/>
      <w:r>
        <w:rPr>
          <w:rFonts w:hint="eastAsia" w:ascii="宋体" w:hAnsi="宋体" w:eastAsia="宋体" w:cs="宋体"/>
          <w:sz w:val="24"/>
          <w:szCs w:val="24"/>
        </w:rPr>
        <w:t>8.3 对评标委员会成员的纪律要求</w:t>
      </w:r>
      <w:bookmarkEnd w:id="287"/>
    </w:p>
    <w:p>
      <w:pPr>
        <w:ind w:firstLine="480"/>
        <w:rPr>
          <w:rFonts w:ascii="宋体" w:hAnsi="宋体" w:cs="宋体"/>
          <w:szCs w:val="24"/>
        </w:rPr>
      </w:pPr>
      <w:r>
        <w:rPr>
          <w:rFonts w:hint="eastAsia" w:ascii="宋体" w:hAnsi="宋体" w:cs="宋体"/>
          <w:szCs w:val="24"/>
        </w:rPr>
        <w:t>评标委员会成员不得收受他人的财物或者其他好处，不得向他人透露对投标文件的评审</w:t>
      </w:r>
      <w:bookmarkStart w:id="288" w:name="_Toc13644"/>
      <w:bookmarkStart w:id="289" w:name="_Toc361508628"/>
      <w:bookmarkStart w:id="290" w:name="_Toc352691515"/>
      <w:bookmarkStart w:id="291" w:name="_Toc384308253"/>
      <w:bookmarkStart w:id="292" w:name="_Toc369531559"/>
      <w:r>
        <w:rPr>
          <w:rFonts w:hint="eastAsia" w:ascii="宋体" w:hAnsi="宋体" w:cs="宋体"/>
          <w:szCs w:val="24"/>
        </w:rPr>
        <w:t>和比较、中标候选人</w:t>
      </w:r>
      <w:bookmarkEnd w:id="279"/>
      <w:bookmarkEnd w:id="280"/>
      <w:bookmarkEnd w:id="281"/>
      <w:bookmarkEnd w:id="282"/>
      <w:bookmarkEnd w:id="283"/>
      <w:bookmarkEnd w:id="284"/>
      <w:bookmarkEnd w:id="288"/>
      <w:bookmarkEnd w:id="289"/>
      <w:bookmarkEnd w:id="290"/>
      <w:bookmarkEnd w:id="291"/>
      <w:bookmarkEnd w:id="292"/>
      <w:r>
        <w:rPr>
          <w:rFonts w:hint="eastAsia" w:ascii="宋体" w:hAnsi="宋体" w:cs="宋体"/>
          <w:szCs w:val="24"/>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ind w:firstLine="137"/>
        <w:rPr>
          <w:rFonts w:ascii="宋体" w:hAnsi="宋体" w:eastAsia="宋体" w:cs="宋体"/>
          <w:sz w:val="24"/>
          <w:szCs w:val="24"/>
        </w:rPr>
      </w:pPr>
      <w:bookmarkStart w:id="293" w:name="_Toc13940"/>
      <w:r>
        <w:rPr>
          <w:rFonts w:hint="eastAsia" w:ascii="宋体" w:hAnsi="宋体" w:eastAsia="宋体" w:cs="宋体"/>
          <w:sz w:val="24"/>
          <w:szCs w:val="24"/>
        </w:rPr>
        <w:t>8.4 对与评标活动有关的工作人员的纪律要求</w:t>
      </w:r>
      <w:bookmarkEnd w:id="293"/>
    </w:p>
    <w:p>
      <w:pPr>
        <w:ind w:firstLine="480"/>
        <w:rPr>
          <w:rFonts w:ascii="宋体" w:hAnsi="宋体" w:cs="宋体"/>
          <w:szCs w:val="24"/>
        </w:rPr>
      </w:pPr>
      <w:r>
        <w:rPr>
          <w:rFonts w:hint="eastAsia" w:ascii="宋体" w:hAnsi="宋体" w:cs="宋体"/>
          <w:szCs w:val="24"/>
        </w:rPr>
        <w:t>与评标活动有关的工作人员不得收受他人的财物或者其他好处，不得向他人透露对投标文件</w:t>
      </w:r>
      <w:bookmarkStart w:id="294" w:name="_Toc384308254"/>
      <w:bookmarkStart w:id="295" w:name="_Toc369531560"/>
      <w:bookmarkStart w:id="296" w:name="_Toc152045569"/>
      <w:bookmarkStart w:id="297" w:name="_Toc19429"/>
      <w:bookmarkStart w:id="298" w:name="_Toc152042345"/>
      <w:bookmarkStart w:id="299" w:name="_Toc361508629"/>
      <w:bookmarkStart w:id="300" w:name="_Toc300834992"/>
      <w:bookmarkStart w:id="301" w:name="_Toc352691516"/>
      <w:bookmarkStart w:id="302" w:name="_Toc144974537"/>
      <w:bookmarkStart w:id="303" w:name="_Toc247527594"/>
      <w:bookmarkStart w:id="304" w:name="_Toc247513993"/>
      <w:r>
        <w:rPr>
          <w:rFonts w:hint="eastAsia" w:ascii="宋体" w:hAnsi="宋体" w:cs="宋体"/>
          <w:szCs w:val="24"/>
        </w:rPr>
        <w:t>的评审和比较、中标</w:t>
      </w:r>
      <w:bookmarkEnd w:id="294"/>
      <w:bookmarkEnd w:id="295"/>
      <w:bookmarkEnd w:id="296"/>
      <w:bookmarkEnd w:id="297"/>
      <w:bookmarkEnd w:id="298"/>
      <w:bookmarkEnd w:id="299"/>
      <w:bookmarkEnd w:id="300"/>
      <w:bookmarkEnd w:id="301"/>
      <w:bookmarkEnd w:id="302"/>
      <w:bookmarkEnd w:id="303"/>
      <w:bookmarkEnd w:id="304"/>
      <w:r>
        <w:rPr>
          <w:rFonts w:hint="eastAsia" w:ascii="宋体" w:hAnsi="宋体" w:cs="宋体"/>
          <w:szCs w:val="24"/>
        </w:rPr>
        <w:t>候选人的推荐情况以及评标有关的其他情况。在评标活动中，与评标活动有关的工作人员不得擅离职守，影响评标程序正常进行。</w:t>
      </w:r>
    </w:p>
    <w:p>
      <w:pPr>
        <w:pStyle w:val="6"/>
        <w:ind w:firstLine="137"/>
        <w:rPr>
          <w:rFonts w:ascii="宋体" w:hAnsi="宋体" w:eastAsia="宋体" w:cs="宋体"/>
          <w:sz w:val="24"/>
          <w:szCs w:val="24"/>
        </w:rPr>
      </w:pPr>
      <w:bookmarkStart w:id="305" w:name="_Toc2314"/>
      <w:r>
        <w:rPr>
          <w:rFonts w:hint="eastAsia" w:ascii="宋体" w:hAnsi="宋体" w:eastAsia="宋体" w:cs="宋体"/>
          <w:sz w:val="24"/>
          <w:szCs w:val="24"/>
        </w:rPr>
        <w:t>8.5 投诉</w:t>
      </w:r>
      <w:bookmarkEnd w:id="305"/>
    </w:p>
    <w:p>
      <w:pPr>
        <w:ind w:firstLine="480"/>
        <w:rPr>
          <w:rFonts w:ascii="宋体" w:hAnsi="宋体" w:cs="宋体"/>
          <w:szCs w:val="24"/>
        </w:rPr>
      </w:pPr>
      <w:r>
        <w:rPr>
          <w:rFonts w:hint="eastAsia" w:ascii="宋体" w:hAnsi="宋体" w:cs="宋体"/>
          <w:szCs w:val="24"/>
        </w:rPr>
        <w:t>8.5.1 投标人或者其他利害关系人认为招标投标活动不符合法律、行政法规规定的，可以自知道或者应当知道之日起10日内向有关行政监督部门投诉。投诉应当有明确的请求和必要的证明材料。</w:t>
      </w:r>
    </w:p>
    <w:p>
      <w:pPr>
        <w:ind w:firstLine="480"/>
        <w:rPr>
          <w:rFonts w:ascii="宋体" w:hAnsi="宋体" w:cs="宋体"/>
          <w:szCs w:val="24"/>
        </w:rPr>
      </w:pPr>
      <w:r>
        <w:rPr>
          <w:rFonts w:hint="eastAsia" w:ascii="宋体" w:hAnsi="宋体" w:cs="宋体"/>
          <w:szCs w:val="24"/>
        </w:rPr>
        <w:t>8.5.2 投标人或者其他利害关系人对招标文件、开标和评标结果提出投诉的，应当按照投标人须知第2.4款、第5.3款和第7.2款的规定先向招标人提出异议。异议答复期间</w:t>
      </w:r>
      <w:bookmarkStart w:id="306" w:name="_Toc12776"/>
      <w:bookmarkStart w:id="307" w:name="_Toc361508630"/>
      <w:bookmarkStart w:id="308" w:name="_Toc384308255"/>
      <w:bookmarkStart w:id="309" w:name="_Toc300834993"/>
      <w:bookmarkStart w:id="310" w:name="_Toc152045570"/>
      <w:bookmarkStart w:id="311" w:name="_Toc247527595"/>
      <w:bookmarkStart w:id="312" w:name="_Toc152042346"/>
      <w:bookmarkStart w:id="313" w:name="_Toc144974538"/>
      <w:bookmarkStart w:id="314" w:name="_Toc369531561"/>
      <w:bookmarkStart w:id="315" w:name="_Toc352691517"/>
      <w:bookmarkStart w:id="316" w:name="_Toc247513994"/>
      <w:r>
        <w:rPr>
          <w:rFonts w:hint="eastAsia" w:ascii="宋体" w:hAnsi="宋体" w:cs="宋体"/>
          <w:szCs w:val="24"/>
        </w:rPr>
        <w:t>不计算在第8.5.</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cs="宋体"/>
          <w:szCs w:val="24"/>
        </w:rPr>
        <w:t>1项规定的期限内。</w:t>
      </w:r>
    </w:p>
    <w:p>
      <w:pPr>
        <w:pStyle w:val="6"/>
        <w:spacing w:line="240" w:lineRule="auto"/>
        <w:rPr>
          <w:rFonts w:ascii="Arial" w:hAnsi="Arial"/>
        </w:rPr>
      </w:pPr>
      <w:bookmarkStart w:id="317" w:name="_Toc477134992"/>
      <w:bookmarkStart w:id="318" w:name="_Toc27100"/>
      <w:r>
        <w:rPr>
          <w:rFonts w:hint="eastAsia" w:ascii="Arial" w:hAnsi="Arial"/>
        </w:rPr>
        <w:t>9. 是否采用电子招标投标</w:t>
      </w:r>
      <w:bookmarkEnd w:id="317"/>
      <w:bookmarkEnd w:id="318"/>
    </w:p>
    <w:p>
      <w:pPr>
        <w:ind w:firstLine="480"/>
        <w:rPr>
          <w:rFonts w:ascii="宋体" w:hAnsi="宋体" w:cs="宋体"/>
          <w:szCs w:val="24"/>
        </w:rPr>
      </w:pPr>
      <w:r>
        <w:rPr>
          <w:rFonts w:hint="eastAsia" w:ascii="宋体" w:hAnsi="宋体" w:cs="宋体"/>
          <w:szCs w:val="24"/>
        </w:rPr>
        <w:t>本招标项目是否采用电子招标投标方式，见投标人须知前附表。</w:t>
      </w:r>
    </w:p>
    <w:p>
      <w:pPr>
        <w:pStyle w:val="6"/>
        <w:spacing w:line="240" w:lineRule="auto"/>
        <w:rPr>
          <w:rFonts w:ascii="Arial" w:hAnsi="Arial"/>
        </w:rPr>
      </w:pPr>
      <w:bookmarkStart w:id="319" w:name="_Toc31578"/>
      <w:r>
        <w:rPr>
          <w:rFonts w:hint="eastAsia" w:ascii="Arial" w:hAnsi="Arial"/>
        </w:rPr>
        <w:t>10. 需要补充的其他内容</w:t>
      </w:r>
      <w:bookmarkEnd w:id="319"/>
    </w:p>
    <w:p>
      <w:pPr>
        <w:ind w:firstLine="480"/>
        <w:rPr>
          <w:rFonts w:ascii="宋体" w:hAnsi="宋体" w:cs="宋体"/>
          <w:szCs w:val="24"/>
        </w:rPr>
      </w:pPr>
      <w:r>
        <w:rPr>
          <w:rFonts w:hint="eastAsia" w:ascii="宋体" w:hAnsi="宋体" w:cs="宋体"/>
          <w:szCs w:val="24"/>
        </w:rPr>
        <w:t>需要补充的其他内容：见投标人须知前附表。</w:t>
      </w:r>
    </w:p>
    <w:p>
      <w:pPr>
        <w:spacing w:line="400" w:lineRule="exact"/>
        <w:ind w:firstLine="480"/>
        <w:rPr>
          <w:rFonts w:ascii="Times New Roman" w:hAnsi="Times New Roman"/>
        </w:rPr>
      </w:pPr>
      <w:r>
        <w:rPr>
          <w:rFonts w:ascii="Times New Roman" w:hAnsi="Times New Roman"/>
        </w:rPr>
        <w:br w:type="page"/>
      </w:r>
    </w:p>
    <w:p>
      <w:pPr>
        <w:pStyle w:val="6"/>
        <w:ind w:firstLine="137"/>
        <w:rPr>
          <w:rFonts w:ascii="Times New Roman" w:hAnsi="Times New Roman"/>
        </w:rPr>
      </w:pPr>
      <w:bookmarkStart w:id="320" w:name="_Toc12784"/>
      <w:r>
        <w:rPr>
          <w:rFonts w:ascii="Times New Roman" w:hAnsi="Times New Roman"/>
        </w:rPr>
        <w:t>附件一：开标记录表</w:t>
      </w:r>
      <w:bookmarkEnd w:id="320"/>
    </w:p>
    <w:p>
      <w:pPr>
        <w:spacing w:line="440" w:lineRule="exact"/>
        <w:ind w:firstLine="560"/>
        <w:jc w:val="center"/>
        <w:rPr>
          <w:rFonts w:ascii="Times New Roman" w:hAnsi="Times New Roman" w:eastAsia="黑体"/>
          <w:sz w:val="28"/>
        </w:rPr>
      </w:pPr>
      <w:r>
        <w:rPr>
          <w:rFonts w:ascii="Times New Roman" w:hAnsi="Times New Roman" w:eastAsia="黑体"/>
          <w:sz w:val="28"/>
        </w:rPr>
        <w:t>开标记录表</w:t>
      </w:r>
    </w:p>
    <w:p>
      <w:pPr>
        <w:spacing w:beforeLines="50" w:afterLines="50" w:line="400" w:lineRule="exact"/>
        <w:ind w:right="420" w:firstLine="480"/>
        <w:jc w:val="right"/>
        <w:rPr>
          <w:rFonts w:ascii="Times New Roman" w:hAnsi="Times New Roman"/>
        </w:rPr>
      </w:pPr>
      <w:r>
        <w:rPr>
          <w:rFonts w:ascii="Times New Roman" w:hAnsi="Times New Roman"/>
        </w:rPr>
        <w:t>开标时间：</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r>
        <w:rPr>
          <w:rFonts w:ascii="Times New Roman" w:hAnsi="Times New Roman"/>
          <w:u w:val="single"/>
        </w:rPr>
        <w:t xml:space="preserve">         </w:t>
      </w:r>
      <w:r>
        <w:rPr>
          <w:rFonts w:ascii="Times New Roman" w:hAnsi="Times New Roman"/>
        </w:rPr>
        <w:t>时</w:t>
      </w:r>
      <w:r>
        <w:rPr>
          <w:rFonts w:ascii="Times New Roman" w:hAnsi="Times New Roman"/>
          <w:u w:val="single"/>
        </w:rPr>
        <w:t xml:space="preserve">         </w:t>
      </w:r>
      <w:r>
        <w:rPr>
          <w:rFonts w:ascii="Times New Roman" w:hAnsi="Times New Roman"/>
        </w:rPr>
        <w:t>分</w:t>
      </w:r>
    </w:p>
    <w:tbl>
      <w:tblPr>
        <w:tblStyle w:val="29"/>
        <w:tblW w:w="0" w:type="auto"/>
        <w:tblInd w:w="0" w:type="dxa"/>
        <w:tblLayout w:type="fixed"/>
        <w:tblCellMar>
          <w:top w:w="0" w:type="dxa"/>
          <w:left w:w="108" w:type="dxa"/>
          <w:bottom w:w="0" w:type="dxa"/>
          <w:right w:w="108" w:type="dxa"/>
        </w:tblCellMar>
      </w:tblPr>
      <w:tblGrid>
        <w:gridCol w:w="649"/>
        <w:gridCol w:w="1019"/>
        <w:gridCol w:w="1134"/>
        <w:gridCol w:w="1417"/>
        <w:gridCol w:w="1276"/>
        <w:gridCol w:w="992"/>
        <w:gridCol w:w="851"/>
        <w:gridCol w:w="1134"/>
      </w:tblGrid>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rFonts w:ascii="Times New Roman" w:hAnsi="Times New Roman"/>
                <w:sz w:val="18"/>
              </w:rPr>
            </w:pPr>
            <w:r>
              <w:rPr>
                <w:rFonts w:ascii="Times New Roman" w:hAnsi="Times New Roman"/>
                <w:sz w:val="18"/>
              </w:rPr>
              <w:t>序号</w:t>
            </w:r>
          </w:p>
        </w:tc>
        <w:tc>
          <w:tcPr>
            <w:tcW w:w="10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rFonts w:ascii="Times New Roman" w:hAnsi="Times New Roman"/>
                <w:sz w:val="18"/>
              </w:rPr>
            </w:pPr>
            <w:r>
              <w:rPr>
                <w:rFonts w:ascii="Times New Roman" w:hAnsi="Times New Roman"/>
                <w:sz w:val="18"/>
              </w:rPr>
              <w:t>投标人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rPr>
                <w:rFonts w:ascii="Times New Roman" w:hAnsi="Times New Roman"/>
                <w:sz w:val="18"/>
              </w:rPr>
            </w:pPr>
            <w:r>
              <w:rPr>
                <w:rFonts w:ascii="Times New Roman" w:hAnsi="Times New Roman"/>
                <w:sz w:val="18"/>
              </w:rPr>
              <w:t>密封情况</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rFonts w:ascii="Times New Roman" w:hAnsi="Times New Roman"/>
                <w:sz w:val="18"/>
              </w:rPr>
            </w:pPr>
            <w:r>
              <w:rPr>
                <w:rFonts w:ascii="Times New Roman" w:hAnsi="Times New Roman"/>
                <w:sz w:val="18"/>
              </w:rPr>
              <w:t>投标保证金</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rFonts w:ascii="Times New Roman" w:hAnsi="Times New Roman"/>
                <w:sz w:val="18"/>
              </w:rPr>
            </w:pPr>
            <w:r>
              <w:rPr>
                <w:rFonts w:ascii="Times New Roman" w:hAnsi="Times New Roman"/>
                <w:sz w:val="18"/>
              </w:rPr>
              <w:t>投标报价</w:t>
            </w:r>
          </w:p>
          <w:p>
            <w:pPr>
              <w:spacing w:line="500" w:lineRule="exact"/>
              <w:ind w:firstLine="360"/>
              <w:jc w:val="center"/>
              <w:rPr>
                <w:rFonts w:ascii="Times New Roman" w:hAnsi="Times New Roman"/>
                <w:sz w:val="18"/>
              </w:rPr>
            </w:pPr>
            <w:r>
              <w:rPr>
                <w:rFonts w:ascii="Times New Roman" w:hAnsi="Times New Roman"/>
                <w:sz w:val="18"/>
              </w:rPr>
              <w:t>（万元）</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rFonts w:ascii="Times New Roman" w:hAnsi="Times New Roman"/>
                <w:sz w:val="18"/>
              </w:rPr>
            </w:pPr>
            <w:r>
              <w:rPr>
                <w:rFonts w:ascii="Times New Roman" w:hAnsi="Times New Roman"/>
                <w:sz w:val="18"/>
              </w:rPr>
              <w:t>交货期</w:t>
            </w: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rFonts w:ascii="Times New Roman" w:hAnsi="Times New Roman"/>
                <w:sz w:val="18"/>
              </w:rPr>
            </w:pPr>
            <w:r>
              <w:rPr>
                <w:rFonts w:ascii="Times New Roman" w:hAnsi="Times New Roman"/>
                <w:sz w:val="18"/>
              </w:rPr>
              <w:t>备注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rFonts w:ascii="Times New Roman" w:hAnsi="Times New Roman"/>
                <w:sz w:val="18"/>
              </w:rPr>
            </w:pPr>
            <w:r>
              <w:rPr>
                <w:rFonts w:ascii="Times New Roman" w:hAnsi="Times New Roman"/>
                <w:sz w:val="18"/>
              </w:rPr>
              <w:t>投标人代表签名</w:t>
            </w: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r>
      <w:tr>
        <w:tblPrEx>
          <w:tblCellMar>
            <w:top w:w="0" w:type="dxa"/>
            <w:left w:w="108" w:type="dxa"/>
            <w:bottom w:w="0" w:type="dxa"/>
            <w:right w:w="108" w:type="dxa"/>
          </w:tblCellMar>
        </w:tblPrEx>
        <w:trPr>
          <w:trHeight w:val="502" w:hRule="atLeast"/>
        </w:trPr>
        <w:tc>
          <w:tcPr>
            <w:tcW w:w="64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bookmarkStart w:id="321" w:name="_Toc17638"/>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r>
      <w:tr>
        <w:tblPrEx>
          <w:tblCellMar>
            <w:top w:w="0" w:type="dxa"/>
            <w:left w:w="108" w:type="dxa"/>
            <w:bottom w:w="0" w:type="dxa"/>
            <w:right w:w="108" w:type="dxa"/>
          </w:tblCellMar>
        </w:tblPrEx>
        <w:tc>
          <w:tcPr>
            <w:tcW w:w="2802" w:type="dxa"/>
            <w:gridSpan w:val="3"/>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r>
              <w:rPr>
                <w:rFonts w:ascii="Times New Roman" w:hAnsi="Times New Roman"/>
              </w:rPr>
              <w:t>最高投标限</w:t>
            </w:r>
            <w:bookmarkEnd w:id="321"/>
            <w:r>
              <w:rPr>
                <w:rFonts w:ascii="Times New Roman" w:hAnsi="Times New Roman"/>
              </w:rPr>
              <w:t>价：</w:t>
            </w:r>
          </w:p>
        </w:tc>
        <w:tc>
          <w:tcPr>
            <w:tcW w:w="5670" w:type="dxa"/>
            <w:gridSpan w:val="5"/>
            <w:tcBorders>
              <w:top w:val="single" w:color="auto" w:sz="4" w:space="0"/>
              <w:left w:val="single" w:color="auto" w:sz="4" w:space="0"/>
              <w:bottom w:val="single" w:color="auto" w:sz="4" w:space="0"/>
              <w:right w:val="single" w:color="auto" w:sz="4" w:space="0"/>
            </w:tcBorders>
          </w:tcPr>
          <w:p>
            <w:pPr>
              <w:spacing w:line="500" w:lineRule="exact"/>
              <w:ind w:firstLine="480"/>
              <w:jc w:val="left"/>
              <w:rPr>
                <w:rFonts w:ascii="Times New Roman" w:hAnsi="Times New Roman"/>
              </w:rPr>
            </w:pPr>
          </w:p>
        </w:tc>
      </w:tr>
    </w:tbl>
    <w:p>
      <w:pPr>
        <w:spacing w:line="440" w:lineRule="exact"/>
        <w:ind w:firstLine="480"/>
        <w:rPr>
          <w:rFonts w:ascii="Times New Roman" w:hAnsi="Times New Roman"/>
        </w:rPr>
      </w:pPr>
      <w:r>
        <w:rPr>
          <w:rFonts w:ascii="Times New Roman" w:hAnsi="Times New Roman"/>
        </w:rPr>
        <w:t>　　　</w:t>
      </w:r>
    </w:p>
    <w:p>
      <w:pPr>
        <w:spacing w:line="620" w:lineRule="exact"/>
        <w:ind w:firstLine="480"/>
        <w:rPr>
          <w:rFonts w:ascii="Times New Roman" w:hAnsi="Times New Roman"/>
        </w:rPr>
      </w:pPr>
      <w:r>
        <w:rPr>
          <w:rFonts w:ascii="Times New Roman" w:hAnsi="Times New Roman"/>
        </w:rPr>
        <w:t>招标人代表：</w:t>
      </w:r>
      <w:r>
        <w:rPr>
          <w:rFonts w:ascii="Times New Roman" w:hAnsi="Times New Roman"/>
          <w:u w:val="single"/>
        </w:rPr>
        <w:t xml:space="preserve">       </w:t>
      </w:r>
      <w:r>
        <w:rPr>
          <w:rFonts w:ascii="Times New Roman" w:hAnsi="Times New Roman"/>
        </w:rPr>
        <w:t xml:space="preserve">        记录人：</w:t>
      </w:r>
      <w:r>
        <w:rPr>
          <w:rFonts w:ascii="Times New Roman" w:hAnsi="Times New Roman"/>
          <w:u w:val="single"/>
        </w:rPr>
        <w:t xml:space="preserve">       </w:t>
      </w:r>
      <w:r>
        <w:rPr>
          <w:rFonts w:ascii="Times New Roman" w:hAnsi="Times New Roman"/>
        </w:rPr>
        <w:t xml:space="preserve">       监标人：</w:t>
      </w:r>
      <w:r>
        <w:rPr>
          <w:rFonts w:ascii="Times New Roman" w:hAnsi="Times New Roman"/>
          <w:u w:val="single"/>
        </w:rPr>
        <w:t xml:space="preserve">       </w:t>
      </w:r>
    </w:p>
    <w:p>
      <w:pPr>
        <w:spacing w:line="620" w:lineRule="exact"/>
        <w:ind w:firstLine="480"/>
        <w:jc w:val="right"/>
        <w:rPr>
          <w:rFonts w:ascii="Times New Roman" w:hAnsi="Times New Roman"/>
          <w:sz w:val="20"/>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ind w:firstLine="480"/>
        <w:rPr>
          <w:rFonts w:ascii="Times New Roman" w:hAnsi="Times New Roman"/>
        </w:rPr>
      </w:pPr>
      <w:r>
        <w:rPr>
          <w:rFonts w:ascii="Times New Roman" w:hAnsi="Times New Roman"/>
        </w:rPr>
        <w:br w:type="page"/>
      </w:r>
    </w:p>
    <w:p>
      <w:pPr>
        <w:spacing w:line="400" w:lineRule="exact"/>
        <w:ind w:firstLine="480"/>
        <w:rPr>
          <w:rFonts w:ascii="Times New Roman" w:hAnsi="Times New Roman"/>
        </w:rPr>
      </w:pPr>
    </w:p>
    <w:p>
      <w:pPr>
        <w:spacing w:line="400" w:lineRule="exact"/>
        <w:ind w:firstLine="560"/>
        <w:jc w:val="center"/>
        <w:rPr>
          <w:rFonts w:ascii="Times New Roman" w:hAnsi="Times New Roman" w:eastAsia="黑体"/>
          <w:sz w:val="28"/>
        </w:rPr>
      </w:pPr>
      <w:r>
        <w:rPr>
          <w:rFonts w:ascii="Times New Roman" w:hAnsi="Times New Roman" w:eastAsia="黑体"/>
          <w:sz w:val="28"/>
        </w:rPr>
        <w:t>中标通知书</w:t>
      </w:r>
    </w:p>
    <w:p>
      <w:pPr>
        <w:spacing w:line="400" w:lineRule="exact"/>
        <w:ind w:firstLine="480"/>
        <w:rPr>
          <w:rFonts w:ascii="Times New Roman" w:hAnsi="Times New Roman"/>
        </w:rPr>
      </w:pPr>
    </w:p>
    <w:p>
      <w:pPr>
        <w:spacing w:line="440" w:lineRule="exact"/>
        <w:ind w:firstLine="480"/>
        <w:rPr>
          <w:rFonts w:ascii="Times New Roman" w:hAnsi="Times New Roman"/>
        </w:rPr>
      </w:pPr>
      <w:r>
        <w:rPr>
          <w:rFonts w:ascii="Times New Roman" w:hAnsi="Times New Roman"/>
          <w:u w:val="single"/>
        </w:rPr>
        <w:t xml:space="preserve">                        </w:t>
      </w:r>
      <w:r>
        <w:rPr>
          <w:rFonts w:ascii="Times New Roman" w:hAnsi="Times New Roman"/>
        </w:rPr>
        <w:t>（中标人名称）：</w:t>
      </w:r>
    </w:p>
    <w:p>
      <w:pPr>
        <w:spacing w:line="440" w:lineRule="exact"/>
        <w:ind w:firstLine="480"/>
        <w:rPr>
          <w:rFonts w:ascii="Times New Roman" w:hAnsi="Times New Roman"/>
        </w:rPr>
      </w:pPr>
    </w:p>
    <w:p>
      <w:pPr>
        <w:spacing w:line="440" w:lineRule="exact"/>
        <w:ind w:firstLine="480"/>
        <w:rPr>
          <w:rFonts w:ascii="Times New Roman" w:hAnsi="Times New Roman"/>
        </w:rPr>
      </w:pPr>
      <w:r>
        <w:rPr>
          <w:rFonts w:ascii="Times New Roman" w:hAnsi="Times New Roman"/>
        </w:rPr>
        <w:t>　　你方于</w:t>
      </w:r>
      <w:r>
        <w:rPr>
          <w:rFonts w:ascii="Times New Roman" w:hAnsi="Times New Roman"/>
          <w:u w:val="single"/>
        </w:rPr>
        <w:t xml:space="preserve">                </w:t>
      </w:r>
      <w:r>
        <w:rPr>
          <w:rFonts w:ascii="Times New Roman" w:hAnsi="Times New Roman"/>
        </w:rPr>
        <w:t>（投标日期）所递交的</w:t>
      </w:r>
      <w:r>
        <w:rPr>
          <w:rFonts w:ascii="Times New Roman" w:hAnsi="Times New Roman"/>
          <w:u w:val="single"/>
        </w:rPr>
        <w:t xml:space="preserve">                 </w:t>
      </w:r>
      <w:r>
        <w:rPr>
          <w:rFonts w:ascii="Times New Roman" w:hAnsi="Times New Roman"/>
        </w:rPr>
        <w:t>（项目名称）设备采购招标的投标文件已被我方接受，被确定为中标人。</w:t>
      </w:r>
    </w:p>
    <w:p>
      <w:pPr>
        <w:spacing w:line="440" w:lineRule="exact"/>
        <w:ind w:firstLine="480"/>
        <w:rPr>
          <w:rFonts w:ascii="Times New Roman" w:hAnsi="Times New Roman"/>
        </w:rPr>
      </w:pPr>
      <w:r>
        <w:rPr>
          <w:rFonts w:ascii="Times New Roman" w:hAnsi="Times New Roman"/>
        </w:rPr>
        <w:t>　　中标价：</w:t>
      </w:r>
      <w:r>
        <w:rPr>
          <w:rFonts w:ascii="Times New Roman" w:hAnsi="Times New Roman"/>
          <w:u w:val="single"/>
        </w:rPr>
        <w:t xml:space="preserve">                </w:t>
      </w:r>
      <w:r>
        <w:rPr>
          <w:rFonts w:ascii="Times New Roman" w:hAnsi="Times New Roman"/>
        </w:rPr>
        <w:t>元。</w:t>
      </w:r>
    </w:p>
    <w:p>
      <w:pPr>
        <w:spacing w:line="440" w:lineRule="exact"/>
        <w:ind w:firstLine="480"/>
        <w:rPr>
          <w:rFonts w:ascii="Times New Roman" w:hAnsi="Times New Roman"/>
        </w:rPr>
      </w:pPr>
      <w:r>
        <w:rPr>
          <w:rFonts w:ascii="Times New Roman" w:hAnsi="Times New Roman"/>
        </w:rPr>
        <w:t>请你方在接到本通知书后的</w:t>
      </w:r>
      <w:r>
        <w:rPr>
          <w:rFonts w:ascii="Times New Roman" w:hAnsi="Times New Roman"/>
          <w:u w:val="single"/>
        </w:rPr>
        <w:t xml:space="preserve">        </w:t>
      </w:r>
      <w:r>
        <w:rPr>
          <w:rFonts w:ascii="Times New Roman" w:hAnsi="Times New Roman"/>
        </w:rPr>
        <w:t>日内到</w:t>
      </w:r>
      <w:r>
        <w:rPr>
          <w:rFonts w:ascii="Times New Roman" w:hAnsi="Times New Roman"/>
          <w:u w:val="single"/>
        </w:rPr>
        <w:t xml:space="preserve">                   </w:t>
      </w:r>
      <w:r>
        <w:rPr>
          <w:rFonts w:ascii="Times New Roman" w:hAnsi="Times New Roman"/>
        </w:rPr>
        <w:t>（指定地点）与我方签订设备采购合同，并按招标文件第二章“投标人须知”第7.6款规定向我方提交履约保证金。</w:t>
      </w:r>
    </w:p>
    <w:p>
      <w:pPr>
        <w:spacing w:line="440" w:lineRule="exact"/>
        <w:ind w:firstLine="480"/>
        <w:rPr>
          <w:rFonts w:ascii="Times New Roman" w:hAnsi="Times New Roman"/>
        </w:rPr>
      </w:pPr>
      <w:r>
        <w:rPr>
          <w:rFonts w:ascii="Times New Roman" w:hAnsi="Times New Roman"/>
        </w:rPr>
        <w:t>　　特此通知。</w:t>
      </w:r>
    </w:p>
    <w:p>
      <w:pPr>
        <w:spacing w:line="440" w:lineRule="exact"/>
        <w:ind w:firstLine="480"/>
        <w:rPr>
          <w:rFonts w:ascii="Times New Roman" w:hAnsi="Times New Roman"/>
        </w:rPr>
      </w:pPr>
    </w:p>
    <w:p>
      <w:pPr>
        <w:spacing w:line="540" w:lineRule="exact"/>
        <w:ind w:firstLine="3700" w:firstLineChars="1542"/>
        <w:rPr>
          <w:rFonts w:ascii="Times New Roman" w:hAnsi="Times New Roman"/>
        </w:rPr>
      </w:pPr>
      <w:r>
        <w:rPr>
          <w:rFonts w:ascii="Times New Roman" w:hAnsi="Times New Roman"/>
        </w:rPr>
        <w:t>招标人：</w:t>
      </w:r>
      <w:r>
        <w:rPr>
          <w:rFonts w:ascii="Times New Roman" w:hAnsi="Times New Roman"/>
          <w:u w:val="single"/>
        </w:rPr>
        <w:t xml:space="preserve">                             </w:t>
      </w:r>
      <w:r>
        <w:rPr>
          <w:rFonts w:ascii="Times New Roman" w:hAnsi="Times New Roman"/>
        </w:rPr>
        <w:t>（盖单位章）</w:t>
      </w:r>
      <w:bookmarkStart w:id="322" w:name="_Toc352691528"/>
      <w:bookmarkStart w:id="323" w:name="_Toc25205"/>
      <w:bookmarkStart w:id="324" w:name="_Toc384308267"/>
      <w:bookmarkStart w:id="325" w:name="_Toc152042359"/>
      <w:bookmarkStart w:id="326" w:name="_Toc369531572"/>
      <w:bookmarkStart w:id="327" w:name="_Toc247514006"/>
      <w:bookmarkStart w:id="328" w:name="_Toc152045582"/>
      <w:bookmarkStart w:id="329" w:name="_Toc300835003"/>
      <w:bookmarkStart w:id="330" w:name="_Toc247527607"/>
      <w:bookmarkStart w:id="331" w:name="_Toc361508641"/>
      <w:bookmarkStart w:id="332" w:name="_Toc144974549"/>
    </w:p>
    <w:p>
      <w:pPr>
        <w:spacing w:line="540" w:lineRule="exact"/>
        <w:ind w:firstLine="3700" w:firstLineChars="1542"/>
        <w:rPr>
          <w:rFonts w:ascii="Times New Roman" w:hAnsi="Times New Roman"/>
        </w:rPr>
      </w:pPr>
      <w:r>
        <w:rPr>
          <w:rFonts w:ascii="Times New Roman" w:hAnsi="Times New Roman"/>
        </w:rPr>
        <w:t>法定代表人（单位负责人：）</w:t>
      </w:r>
      <w:r>
        <w:rPr>
          <w:rFonts w:ascii="Times New Roman" w:hAnsi="Times New Roman"/>
          <w:u w:val="single"/>
        </w:rPr>
        <w:t xml:space="preserve">               </w:t>
      </w:r>
      <w:r>
        <w:rPr>
          <w:rFonts w:ascii="Times New Roman" w:hAnsi="Times New Roman"/>
        </w:rPr>
        <w:t>（签字）</w:t>
      </w:r>
    </w:p>
    <w:bookmarkEnd w:id="322"/>
    <w:bookmarkEnd w:id="323"/>
    <w:bookmarkEnd w:id="324"/>
    <w:bookmarkEnd w:id="325"/>
    <w:bookmarkEnd w:id="326"/>
    <w:bookmarkEnd w:id="327"/>
    <w:bookmarkEnd w:id="328"/>
    <w:bookmarkEnd w:id="329"/>
    <w:bookmarkEnd w:id="330"/>
    <w:bookmarkEnd w:id="331"/>
    <w:bookmarkEnd w:id="332"/>
    <w:p>
      <w:pPr>
        <w:spacing w:line="540" w:lineRule="exact"/>
        <w:ind w:firstLine="4416" w:firstLineChars="1840"/>
        <w:jc w:val="center"/>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00" w:lineRule="exact"/>
        <w:ind w:firstLine="480"/>
        <w:rPr>
          <w:rFonts w:ascii="Times New Roman" w:hAnsi="Times New Roman"/>
        </w:rPr>
      </w:pPr>
    </w:p>
    <w:p>
      <w:pPr>
        <w:spacing w:line="400" w:lineRule="exact"/>
        <w:ind w:firstLine="480"/>
        <w:rPr>
          <w:rFonts w:ascii="Times New Roman" w:hAnsi="Times New Roman"/>
        </w:rPr>
      </w:pPr>
      <w:r>
        <w:rPr>
          <w:rFonts w:ascii="Times New Roman" w:hAnsi="Times New Roman"/>
        </w:rPr>
        <w:br w:type="page"/>
      </w:r>
    </w:p>
    <w:p>
      <w:pPr>
        <w:pStyle w:val="4"/>
        <w:spacing w:before="0" w:after="0" w:line="360" w:lineRule="auto"/>
        <w:ind w:firstLine="883"/>
        <w:jc w:val="center"/>
      </w:pPr>
      <w:r>
        <w:t>第三章</w:t>
      </w:r>
      <w:r>
        <w:rPr>
          <w:rFonts w:hint="eastAsia"/>
        </w:rPr>
        <w:t xml:space="preserve"> </w:t>
      </w:r>
      <w:r>
        <w:t>评标办法</w:t>
      </w:r>
    </w:p>
    <w:p>
      <w:pPr>
        <w:pStyle w:val="4"/>
        <w:spacing w:before="0" w:after="0" w:line="360" w:lineRule="auto"/>
        <w:ind w:firstLine="883"/>
        <w:jc w:val="center"/>
      </w:pPr>
      <w:r>
        <w:t>（经评审的最低投标价法）</w:t>
      </w:r>
      <w:bookmarkEnd w:id="34"/>
      <w:bookmarkEnd w:id="35"/>
    </w:p>
    <w:p>
      <w:pPr>
        <w:pStyle w:val="5"/>
        <w:ind w:firstLine="562"/>
        <w:rPr>
          <w:rFonts w:ascii="Times New Roman" w:hAnsi="Times New Roman"/>
        </w:rPr>
      </w:pPr>
      <w:bookmarkStart w:id="333" w:name="_Toc3981"/>
      <w:r>
        <w:rPr>
          <w:rFonts w:ascii="Times New Roman" w:hAnsi="Times New Roman"/>
        </w:rPr>
        <w:t>评标办法前附表</w:t>
      </w:r>
      <w:bookmarkEnd w:id="333"/>
    </w:p>
    <w:tbl>
      <w:tblPr>
        <w:tblStyle w:val="29"/>
        <w:tblW w:w="918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320"/>
        <w:gridCol w:w="2280"/>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tblHeader/>
        </w:trPr>
        <w:tc>
          <w:tcPr>
            <w:tcW w:w="2220" w:type="dxa"/>
            <w:gridSpan w:val="2"/>
            <w:tcBorders>
              <w:top w:val="single" w:color="auto" w:sz="4" w:space="0"/>
              <w:bottom w:val="single" w:color="auto" w:sz="4" w:space="0"/>
              <w:right w:val="single" w:color="auto" w:sz="4" w:space="0"/>
            </w:tcBorders>
            <w:vAlign w:val="center"/>
          </w:tcPr>
          <w:p>
            <w:pPr>
              <w:spacing w:line="440" w:lineRule="exact"/>
              <w:ind w:firstLine="482"/>
              <w:jc w:val="center"/>
              <w:rPr>
                <w:rFonts w:ascii="Times New Roman" w:hAnsi="Times New Roman"/>
                <w:b/>
              </w:rPr>
            </w:pPr>
            <w:r>
              <w:rPr>
                <w:rFonts w:ascii="Times New Roman" w:hAnsi="Times New Roman"/>
                <w:b/>
              </w:rPr>
              <w:t>条款号</w:t>
            </w:r>
          </w:p>
        </w:tc>
        <w:tc>
          <w:tcPr>
            <w:tcW w:w="22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2"/>
              <w:jc w:val="center"/>
              <w:rPr>
                <w:rFonts w:ascii="Times New Roman" w:hAnsi="Times New Roman"/>
                <w:b/>
              </w:rPr>
            </w:pPr>
            <w:r>
              <w:rPr>
                <w:rFonts w:ascii="Times New Roman" w:hAnsi="Times New Roman"/>
                <w:b/>
              </w:rPr>
              <w:t>评审因素</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2"/>
              <w:jc w:val="center"/>
              <w:rPr>
                <w:rFonts w:ascii="Times New Roman" w:hAnsi="Times New Roman"/>
                <w:b/>
              </w:rPr>
            </w:pPr>
            <w:r>
              <w:rPr>
                <w:rFonts w:ascii="Times New Roman" w:hAnsi="Times New Roman"/>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ascii="Times New Roman" w:hAnsi="Times New Roman"/>
              </w:rPr>
            </w:pPr>
            <w:r>
              <w:rPr>
                <w:rFonts w:ascii="Times New Roman" w:hAnsi="Times New Roman"/>
              </w:rPr>
              <w:t>1</w:t>
            </w:r>
          </w:p>
        </w:tc>
        <w:tc>
          <w:tcPr>
            <w:tcW w:w="132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rPr>
            </w:pPr>
            <w:r>
              <w:rPr>
                <w:rFonts w:ascii="Times New Roman" w:hAnsi="Times New Roman"/>
              </w:rPr>
              <w:t>评标方法</w:t>
            </w:r>
          </w:p>
        </w:tc>
        <w:tc>
          <w:tcPr>
            <w:tcW w:w="22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rPr>
            </w:pPr>
            <w:r>
              <w:rPr>
                <w:rFonts w:ascii="Times New Roman" w:hAnsi="Times New Roman"/>
              </w:rPr>
              <w:t>中标候选人排序方法</w:t>
            </w:r>
          </w:p>
        </w:tc>
        <w:tc>
          <w:tcPr>
            <w:tcW w:w="4680" w:type="dxa"/>
            <w:tcBorders>
              <w:top w:val="single" w:color="auto" w:sz="4" w:space="0"/>
              <w:left w:val="single" w:color="auto" w:sz="4" w:space="0"/>
              <w:bottom w:val="single" w:color="auto" w:sz="4" w:space="0"/>
              <w:right w:val="single" w:color="auto" w:sz="4" w:space="0"/>
            </w:tcBorders>
          </w:tcPr>
          <w:p>
            <w:pPr>
              <w:spacing w:line="440" w:lineRule="exact"/>
              <w:ind w:firstLine="0" w:firstLineChars="0"/>
              <w:rPr>
                <w:rFonts w:ascii="Times New Roman" w:hAnsi="Times New Roman"/>
              </w:rPr>
            </w:pPr>
            <w:r>
              <w:rPr>
                <w:rFonts w:hint="eastAsia" w:ascii="Times New Roman" w:hAnsi="Times New Roman"/>
              </w:rPr>
              <w:t>详见 “第二章 投标人须知 投标人须知前附表”第6.3.2条规定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trPr>
        <w:tc>
          <w:tcPr>
            <w:tcW w:w="900" w:type="dxa"/>
            <w:vMerge w:val="restart"/>
            <w:tcBorders>
              <w:top w:val="single" w:color="auto" w:sz="4" w:space="0"/>
              <w:bottom w:val="single" w:color="auto" w:sz="4" w:space="0"/>
              <w:right w:val="single" w:color="auto" w:sz="4" w:space="0"/>
            </w:tcBorders>
            <w:vAlign w:val="center"/>
          </w:tcPr>
          <w:p>
            <w:pPr>
              <w:spacing w:line="440" w:lineRule="exact"/>
              <w:ind w:firstLine="0" w:firstLineChars="0"/>
              <w:jc w:val="center"/>
              <w:rPr>
                <w:rFonts w:ascii="Times New Roman" w:hAnsi="Times New Roman"/>
              </w:rPr>
            </w:pPr>
            <w:r>
              <w:rPr>
                <w:rFonts w:ascii="Times New Roman" w:hAnsi="Times New Roman"/>
              </w:rPr>
              <w:t>2.1.1</w:t>
            </w:r>
          </w:p>
        </w:tc>
        <w:tc>
          <w:tcPr>
            <w:tcW w:w="1320" w:type="dxa"/>
            <w:vMerge w:val="restart"/>
            <w:tcBorders>
              <w:top w:val="single" w:color="auto" w:sz="4" w:space="0"/>
              <w:right w:val="single" w:color="auto" w:sz="4" w:space="0"/>
            </w:tcBorders>
            <w:vAlign w:val="center"/>
          </w:tcPr>
          <w:p>
            <w:pPr>
              <w:spacing w:line="440" w:lineRule="exact"/>
              <w:ind w:firstLine="0" w:firstLineChars="0"/>
              <w:rPr>
                <w:rFonts w:ascii="Times New Roman" w:hAnsi="Times New Roman"/>
              </w:rPr>
            </w:pPr>
            <w:r>
              <w:rPr>
                <w:rFonts w:ascii="Times New Roman" w:hAnsi="Times New Roman"/>
              </w:rPr>
              <w:t>形式评审标准</w:t>
            </w:r>
          </w:p>
        </w:tc>
        <w:tc>
          <w:tcPr>
            <w:tcW w:w="22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ascii="Times New Roman" w:hAnsi="Times New Roman"/>
              </w:rPr>
            </w:pPr>
            <w:r>
              <w:rPr>
                <w:rFonts w:ascii="Times New Roman" w:hAnsi="Times New Roman"/>
              </w:rP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rPr>
            </w:pPr>
            <w:r>
              <w:rPr>
                <w:rFonts w:ascii="Times New Roman" w:hAnsi="Times New Roman"/>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vAlign w:val="center"/>
          </w:tcPr>
          <w:p>
            <w:pPr>
              <w:ind w:firstLine="480"/>
              <w:rPr>
                <w:rFonts w:ascii="Times New Roman" w:hAnsi="Times New Roman"/>
              </w:rPr>
            </w:pPr>
          </w:p>
        </w:tc>
        <w:tc>
          <w:tcPr>
            <w:tcW w:w="1320" w:type="dxa"/>
            <w:vMerge w:val="continue"/>
            <w:tcBorders>
              <w:right w:val="single" w:color="auto" w:sz="4" w:space="0"/>
            </w:tcBorders>
            <w:vAlign w:val="center"/>
          </w:tcPr>
          <w:p>
            <w:pPr>
              <w:ind w:firstLine="480"/>
              <w:rPr>
                <w:rFonts w:ascii="Times New Roman" w:hAnsi="Times New Roman"/>
              </w:rPr>
            </w:pPr>
          </w:p>
        </w:tc>
        <w:tc>
          <w:tcPr>
            <w:tcW w:w="22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ascii="Times New Roman" w:hAnsi="Times New Roman"/>
              </w:rPr>
            </w:pPr>
            <w:r>
              <w:rPr>
                <w:rFonts w:ascii="Times New Roman" w:hAnsi="Times New Roman"/>
              </w:rPr>
              <w:t>投标文件格式</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rPr>
            </w:pPr>
            <w:r>
              <w:rPr>
                <w:rFonts w:ascii="Times New Roman" w:hAnsi="Times New Roman"/>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ind w:firstLine="480"/>
              <w:rPr>
                <w:rFonts w:ascii="Times New Roman" w:hAnsi="Times New Roma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ind w:firstLine="480"/>
              <w:rPr>
                <w:rFonts w:ascii="Times New Roman" w:hAnsi="Times New Roman"/>
              </w:rPr>
            </w:pPr>
          </w:p>
        </w:tc>
        <w:tc>
          <w:tcPr>
            <w:tcW w:w="22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ascii="Times New Roman" w:hAnsi="Times New Roman"/>
              </w:rPr>
            </w:pPr>
            <w:r>
              <w:rPr>
                <w:rFonts w:ascii="Times New Roman" w:hAnsi="Times New Roman"/>
              </w:rPr>
              <w:t>资质要求</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rPr>
            </w:pPr>
            <w:r>
              <w:rPr>
                <w:rFonts w:ascii="Times New Roman" w:hAnsi="Times New Roman"/>
              </w:rPr>
              <w:t>符合第二章“投标人须知</w:t>
            </w:r>
            <w:r>
              <w:rPr>
                <w:rFonts w:hint="eastAsia" w:ascii="Times New Roman" w:hAnsi="Times New Roman"/>
              </w:rPr>
              <w:t>投标人须知前附表</w:t>
            </w:r>
            <w:r>
              <w:rPr>
                <w:rFonts w:ascii="Times New Roman" w:hAnsi="Times New Roman"/>
              </w:rPr>
              <w:t>”第1.4.1项规定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ind w:firstLine="480"/>
              <w:rPr>
                <w:rFonts w:ascii="Times New Roman" w:hAnsi="Times New Roma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ind w:firstLine="480"/>
              <w:rPr>
                <w:rFonts w:ascii="Times New Roman" w:hAnsi="Times New Roman"/>
              </w:rPr>
            </w:pPr>
          </w:p>
        </w:tc>
        <w:tc>
          <w:tcPr>
            <w:tcW w:w="22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ascii="Times New Roman" w:hAnsi="Times New Roman"/>
              </w:rPr>
            </w:pPr>
            <w:r>
              <w:rPr>
                <w:rFonts w:ascii="Times New Roman" w:hAnsi="Times New Roman"/>
              </w:rPr>
              <w:t>不存在禁止投标的情形</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rPr>
            </w:pPr>
            <w:r>
              <w:rPr>
                <w:rFonts w:ascii="Times New Roman" w:hAnsi="Times New Roman"/>
              </w:rPr>
              <w:t>不存在第二章“投标人须知</w:t>
            </w:r>
            <w:r>
              <w:rPr>
                <w:rFonts w:hint="eastAsia" w:ascii="Times New Roman" w:hAnsi="Times New Roman"/>
              </w:rPr>
              <w:t>投标人须知前附表</w:t>
            </w:r>
            <w:r>
              <w:rPr>
                <w:rFonts w:ascii="Times New Roman" w:hAnsi="Times New Roman"/>
              </w:rPr>
              <w:t>”第1.4.3项规定的任何一种情形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ind w:firstLine="480"/>
              <w:rPr>
                <w:rFonts w:ascii="Times New Roman" w:hAnsi="Times New Roma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ind w:firstLine="480"/>
              <w:rPr>
                <w:rFonts w:ascii="Times New Roman" w:hAnsi="Times New Roman"/>
              </w:rPr>
            </w:pPr>
          </w:p>
        </w:tc>
        <w:tc>
          <w:tcPr>
            <w:tcW w:w="22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ascii="Times New Roman" w:hAnsi="Times New Roman"/>
              </w:rPr>
            </w:pPr>
            <w:r>
              <w:rPr>
                <w:rFonts w:ascii="Times New Roman" w:hAnsi="Times New Roman"/>
              </w:rPr>
              <w:t>制造商的资质</w:t>
            </w:r>
            <w:r>
              <w:rPr>
                <w:rFonts w:hint="eastAsia" w:ascii="Times New Roman" w:hAnsi="Times New Roman"/>
              </w:rPr>
              <w:t>及授权</w:t>
            </w:r>
            <w:r>
              <w:rPr>
                <w:rFonts w:ascii="Times New Roman" w:hAnsi="Times New Roman"/>
              </w:rPr>
              <w:t>要求</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rPr>
            </w:pPr>
            <w:r>
              <w:rPr>
                <w:rFonts w:ascii="Times New Roman" w:hAnsi="Times New Roman"/>
              </w:rPr>
              <w:t>符合第二章“投标人须知</w:t>
            </w:r>
            <w:r>
              <w:rPr>
                <w:rFonts w:hint="eastAsia" w:ascii="Times New Roman" w:hAnsi="Times New Roman"/>
              </w:rPr>
              <w:t>投标人须知前附表</w:t>
            </w:r>
            <w:r>
              <w:rPr>
                <w:rFonts w:ascii="Times New Roman" w:hAnsi="Times New Roman"/>
              </w:rPr>
              <w:t>”第1.4.1项规定</w:t>
            </w:r>
          </w:p>
          <w:p>
            <w:pPr>
              <w:spacing w:line="440" w:lineRule="exact"/>
              <w:ind w:firstLine="480"/>
              <w:rPr>
                <w:rFonts w:ascii="Times New Roman" w:hAnsi="Times New Roman"/>
              </w:rPr>
            </w:pPr>
          </w:p>
          <w:p>
            <w:pPr>
              <w:spacing w:line="440" w:lineRule="exact"/>
              <w:ind w:firstLine="48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pPr>
              <w:spacing w:line="440" w:lineRule="exact"/>
              <w:ind w:firstLine="0" w:firstLineChars="0"/>
              <w:jc w:val="center"/>
              <w:rPr>
                <w:rFonts w:ascii="Times New Roman" w:hAnsi="Times New Roman"/>
              </w:rPr>
            </w:pPr>
            <w:r>
              <w:rPr>
                <w:rFonts w:ascii="Times New Roman" w:hAnsi="Times New Roman"/>
              </w:rPr>
              <w:t>2.1.3</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Times New Roman" w:hAnsi="Times New Roman"/>
              </w:rPr>
            </w:pPr>
            <w:r>
              <w:rPr>
                <w:rFonts w:ascii="Times New Roman" w:hAnsi="Times New Roman"/>
              </w:rPr>
              <w:t>响应性评审标准</w:t>
            </w:r>
          </w:p>
        </w:tc>
        <w:tc>
          <w:tcPr>
            <w:tcW w:w="22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rPr>
                <w:rFonts w:ascii="Times New Roman" w:hAnsi="Times New Roman"/>
              </w:rPr>
            </w:pPr>
            <w:r>
              <w:rPr>
                <w:rFonts w:ascii="Times New Roman" w:hAnsi="Times New Roman"/>
              </w:rPr>
              <w:t>投标报价</w:t>
            </w:r>
          </w:p>
        </w:tc>
        <w:tc>
          <w:tcPr>
            <w:tcW w:w="4680" w:type="dxa"/>
            <w:tcBorders>
              <w:top w:val="single" w:color="auto" w:sz="4" w:space="0"/>
              <w:left w:val="single" w:color="auto" w:sz="4" w:space="0"/>
              <w:bottom w:val="single" w:color="auto" w:sz="4" w:space="0"/>
            </w:tcBorders>
            <w:vAlign w:val="center"/>
          </w:tcPr>
          <w:p>
            <w:pPr>
              <w:spacing w:line="440" w:lineRule="exact"/>
              <w:ind w:firstLine="0" w:firstLineChars="0"/>
              <w:rPr>
                <w:rFonts w:ascii="Times New Roman" w:hAnsi="Times New Roman"/>
              </w:rPr>
            </w:pPr>
            <w:r>
              <w:rPr>
                <w:rFonts w:ascii="Times New Roman" w:hAnsi="Times New Roman"/>
              </w:rPr>
              <w:t>符合第二章“投标人须知</w:t>
            </w:r>
            <w:r>
              <w:rPr>
                <w:rFonts w:hint="eastAsia" w:ascii="Times New Roman" w:hAnsi="Times New Roman"/>
              </w:rPr>
              <w:t>投标人须知前附表</w:t>
            </w:r>
            <w:r>
              <w:rPr>
                <w:rFonts w:ascii="Times New Roman" w:hAnsi="Times New Roman"/>
              </w:rPr>
              <w:t>”第3.2</w:t>
            </w:r>
            <w:r>
              <w:rPr>
                <w:rFonts w:hint="eastAsia" w:ascii="Times New Roman" w:hAnsi="Times New Roman"/>
              </w:rPr>
              <w:t>.4</w:t>
            </w:r>
            <w:r>
              <w:rPr>
                <w:rFonts w:ascii="Times New Roman" w:hAnsi="Times New Roman"/>
              </w:rPr>
              <w:t>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40" w:lineRule="exact"/>
              <w:ind w:firstLine="480"/>
              <w:jc w:val="center"/>
              <w:rPr>
                <w:rFonts w:ascii="Times New Roman" w:hAnsi="Times New Roma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ind w:firstLine="480"/>
              <w:jc w:val="center"/>
              <w:rPr>
                <w:rFonts w:ascii="Times New Roman" w:hAnsi="Times New Roman"/>
              </w:rPr>
            </w:pPr>
          </w:p>
        </w:tc>
        <w:tc>
          <w:tcPr>
            <w:tcW w:w="22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rPr>
                <w:rFonts w:ascii="Times New Roman" w:hAnsi="Times New Roman"/>
              </w:rPr>
            </w:pPr>
            <w:r>
              <w:rPr>
                <w:rFonts w:ascii="Times New Roman" w:hAnsi="Times New Roman"/>
              </w:rPr>
              <w:t>投标内容</w:t>
            </w:r>
          </w:p>
        </w:tc>
        <w:tc>
          <w:tcPr>
            <w:tcW w:w="4680" w:type="dxa"/>
            <w:tcBorders>
              <w:top w:val="single" w:color="auto" w:sz="4" w:space="0"/>
              <w:left w:val="single" w:color="auto" w:sz="4" w:space="0"/>
              <w:bottom w:val="single" w:color="auto" w:sz="4" w:space="0"/>
            </w:tcBorders>
            <w:vAlign w:val="center"/>
          </w:tcPr>
          <w:p>
            <w:pPr>
              <w:spacing w:line="440" w:lineRule="exact"/>
              <w:ind w:firstLine="0" w:firstLineChars="0"/>
              <w:jc w:val="left"/>
              <w:rPr>
                <w:rFonts w:ascii="Times New Roman" w:hAnsi="Times New Roman"/>
              </w:rPr>
            </w:pPr>
            <w:r>
              <w:rPr>
                <w:rFonts w:ascii="Times New Roman" w:hAnsi="Times New Roman"/>
              </w:rPr>
              <w:t>符合第二章“投标人须知</w:t>
            </w:r>
            <w:r>
              <w:rPr>
                <w:rFonts w:hint="eastAsia" w:ascii="Times New Roman" w:hAnsi="Times New Roman"/>
              </w:rPr>
              <w:t>投标人须知前附表</w:t>
            </w:r>
            <w:r>
              <w:rPr>
                <w:rFonts w:ascii="Times New Roman" w:hAnsi="Times New Roman"/>
              </w:rPr>
              <w:t>”第1.3.1项规定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40" w:lineRule="exact"/>
              <w:ind w:firstLine="480"/>
              <w:jc w:val="center"/>
              <w:rPr>
                <w:rFonts w:ascii="Times New Roman" w:hAnsi="Times New Roma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ind w:firstLine="480"/>
              <w:jc w:val="center"/>
              <w:rPr>
                <w:rFonts w:ascii="Times New Roman" w:hAnsi="Times New Roman"/>
              </w:rPr>
            </w:pPr>
          </w:p>
        </w:tc>
        <w:tc>
          <w:tcPr>
            <w:tcW w:w="228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rPr>
                <w:rFonts w:ascii="Times New Roman" w:hAnsi="Times New Roman"/>
              </w:rPr>
            </w:pPr>
            <w:r>
              <w:rPr>
                <w:rFonts w:ascii="Times New Roman" w:hAnsi="Times New Roman"/>
              </w:rPr>
              <w:t>交货期</w:t>
            </w:r>
          </w:p>
        </w:tc>
        <w:tc>
          <w:tcPr>
            <w:tcW w:w="4680" w:type="dxa"/>
            <w:tcBorders>
              <w:top w:val="single" w:color="auto" w:sz="4" w:space="0"/>
              <w:left w:val="single" w:color="auto" w:sz="4" w:space="0"/>
              <w:bottom w:val="single" w:color="auto" w:sz="4" w:space="0"/>
            </w:tcBorders>
            <w:vAlign w:val="center"/>
          </w:tcPr>
          <w:p>
            <w:pPr>
              <w:spacing w:line="440" w:lineRule="exact"/>
              <w:ind w:firstLine="0" w:firstLineChars="0"/>
              <w:jc w:val="left"/>
              <w:rPr>
                <w:rFonts w:ascii="Times New Roman" w:hAnsi="Times New Roman"/>
              </w:rPr>
            </w:pPr>
            <w:r>
              <w:rPr>
                <w:rFonts w:ascii="Times New Roman" w:hAnsi="Times New Roman"/>
              </w:rPr>
              <w:t>符合第二章“投标人须知</w:t>
            </w:r>
            <w:r>
              <w:rPr>
                <w:rFonts w:hint="eastAsia" w:ascii="Times New Roman" w:hAnsi="Times New Roman"/>
              </w:rPr>
              <w:t>投标人须知前附表</w:t>
            </w:r>
            <w:r>
              <w:rPr>
                <w:rFonts w:ascii="Times New Roman" w:hAnsi="Times New Roman"/>
              </w:rPr>
              <w:t>”第1.3.2项规定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ind w:firstLine="480"/>
              <w:rPr>
                <w:rFonts w:ascii="Times New Roman" w:hAnsi="Times New Roma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ind w:firstLine="480"/>
              <w:rPr>
                <w:rFonts w:ascii="Times New Roman" w:hAnsi="Times New Roman"/>
              </w:rPr>
            </w:pPr>
          </w:p>
        </w:tc>
        <w:tc>
          <w:tcPr>
            <w:tcW w:w="2280" w:type="dxa"/>
            <w:tcBorders>
              <w:top w:val="single" w:color="auto" w:sz="4" w:space="0"/>
              <w:left w:val="single" w:color="auto" w:sz="4" w:space="0"/>
              <w:bottom w:val="single" w:color="auto" w:sz="4" w:space="0"/>
              <w:right w:val="single" w:color="auto" w:sz="4" w:space="0"/>
            </w:tcBorders>
          </w:tcPr>
          <w:p>
            <w:pPr>
              <w:spacing w:line="440" w:lineRule="exact"/>
              <w:ind w:firstLine="480"/>
              <w:rPr>
                <w:rFonts w:ascii="Times New Roman" w:hAnsi="Times New Roman"/>
              </w:rPr>
            </w:pPr>
            <w:r>
              <w:rPr>
                <w:rFonts w:ascii="Times New Roman" w:hAnsi="Times New Roman"/>
              </w:rPr>
              <w:t>投标保证金</w:t>
            </w:r>
          </w:p>
        </w:tc>
        <w:tc>
          <w:tcPr>
            <w:tcW w:w="4680" w:type="dxa"/>
            <w:tcBorders>
              <w:top w:val="single" w:color="auto" w:sz="4" w:space="0"/>
              <w:left w:val="single" w:color="auto" w:sz="4" w:space="0"/>
              <w:bottom w:val="single" w:color="auto" w:sz="4" w:space="0"/>
            </w:tcBorders>
          </w:tcPr>
          <w:p>
            <w:pPr>
              <w:spacing w:line="440" w:lineRule="exact"/>
              <w:ind w:firstLine="0" w:firstLineChars="0"/>
            </w:pPr>
            <w:r>
              <w:t>符合第二章“投标人须知</w:t>
            </w:r>
            <w:r>
              <w:rPr>
                <w:rFonts w:hint="eastAsia"/>
              </w:rPr>
              <w:t>投标人须知前附表</w:t>
            </w:r>
            <w:r>
              <w:t>”第3.4</w:t>
            </w:r>
            <w:r>
              <w:rPr>
                <w:rFonts w:hint="eastAsia"/>
              </w:rPr>
              <w:t>.1项</w:t>
            </w:r>
            <w:r>
              <w:t>规定</w:t>
            </w:r>
          </w:p>
          <w:p>
            <w:pPr>
              <w:pStyle w:val="2"/>
              <w:ind w:firstLine="480"/>
            </w:pPr>
          </w:p>
          <w:p>
            <w:pPr>
              <w:pStyle w:val="3"/>
              <w:ind w:firstLine="48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3" w:hRule="atLeast"/>
        </w:trPr>
        <w:tc>
          <w:tcPr>
            <w:tcW w:w="900" w:type="dxa"/>
            <w:vMerge w:val="restart"/>
            <w:tcBorders>
              <w:top w:val="single" w:color="auto" w:sz="4" w:space="0"/>
              <w:right w:val="single" w:color="auto" w:sz="4" w:space="0"/>
            </w:tcBorders>
            <w:vAlign w:val="center"/>
          </w:tcPr>
          <w:p>
            <w:pPr>
              <w:ind w:firstLine="0" w:firstLineChars="0"/>
              <w:jc w:val="center"/>
              <w:rPr>
                <w:rFonts w:ascii="Times New Roman" w:hAnsi="Times New Roman"/>
              </w:rPr>
            </w:pPr>
            <w:r>
              <w:rPr>
                <w:rFonts w:ascii="Times New Roman" w:hAnsi="Times New Roman"/>
              </w:rPr>
              <w:t>2.2</w:t>
            </w:r>
          </w:p>
        </w:tc>
        <w:tc>
          <w:tcPr>
            <w:tcW w:w="1320" w:type="dxa"/>
            <w:vMerge w:val="restart"/>
            <w:tcBorders>
              <w:top w:val="single" w:color="auto" w:sz="4" w:space="0"/>
              <w:left w:val="single" w:color="auto" w:sz="4" w:space="0"/>
              <w:right w:val="single" w:color="auto" w:sz="4" w:space="0"/>
            </w:tcBorders>
            <w:vAlign w:val="center"/>
          </w:tcPr>
          <w:p>
            <w:pPr>
              <w:ind w:firstLine="0" w:firstLineChars="0"/>
              <w:rPr>
                <w:rFonts w:ascii="Times New Roman" w:hAnsi="Times New Roman"/>
              </w:rPr>
            </w:pPr>
            <w:r>
              <w:rPr>
                <w:rFonts w:ascii="Times New Roman" w:hAnsi="Times New Roman"/>
              </w:rPr>
              <w:t>详细评审标准</w:t>
            </w:r>
          </w:p>
        </w:tc>
        <w:tc>
          <w:tcPr>
            <w:tcW w:w="2280" w:type="dxa"/>
            <w:tcBorders>
              <w:top w:val="single" w:color="auto" w:sz="4" w:space="0"/>
              <w:left w:val="single" w:color="auto" w:sz="4" w:space="0"/>
              <w:bottom w:val="single" w:color="auto" w:sz="4" w:space="0"/>
              <w:right w:val="single" w:color="auto" w:sz="4" w:space="0"/>
            </w:tcBorders>
          </w:tcPr>
          <w:p>
            <w:pPr>
              <w:spacing w:line="440" w:lineRule="exact"/>
              <w:ind w:firstLine="480"/>
              <w:rPr>
                <w:rFonts w:ascii="Times New Roman" w:hAnsi="Times New Roman"/>
              </w:rPr>
            </w:pPr>
            <w:r>
              <w:rPr>
                <w:rFonts w:hint="eastAsia" w:ascii="Times New Roman" w:hAnsi="Times New Roman"/>
              </w:rPr>
              <w:t>主要技术指标</w:t>
            </w:r>
          </w:p>
        </w:tc>
        <w:tc>
          <w:tcPr>
            <w:tcW w:w="4680" w:type="dxa"/>
            <w:tcBorders>
              <w:top w:val="single" w:color="auto" w:sz="4" w:space="0"/>
              <w:left w:val="single" w:color="auto" w:sz="4" w:space="0"/>
              <w:bottom w:val="single" w:color="auto" w:sz="4" w:space="0"/>
            </w:tcBorders>
          </w:tcPr>
          <w:p>
            <w:pPr>
              <w:spacing w:line="440" w:lineRule="exact"/>
              <w:ind w:firstLine="0" w:firstLineChars="0"/>
              <w:rPr>
                <w:rFonts w:ascii="Times New Roman" w:hAnsi="Times New Roman"/>
              </w:rPr>
            </w:pPr>
            <w:r>
              <w:rPr>
                <w:rFonts w:ascii="Times New Roman" w:hAnsi="Times New Roman"/>
              </w:rPr>
              <w:t>符合</w:t>
            </w:r>
            <w:r>
              <w:rPr>
                <w:rFonts w:hint="eastAsia" w:ascii="Times New Roman" w:hAnsi="Times New Roman"/>
              </w:rPr>
              <w:t>第五章 供货要求</w:t>
            </w:r>
            <w:r>
              <w:rPr>
                <w:rFonts w:ascii="Times New Roman" w:hAnsi="Times New Roman"/>
              </w:rPr>
              <w:t>规定</w:t>
            </w:r>
            <w:r>
              <w:rPr>
                <w:rFonts w:hint="eastAsia" w:ascii="Times New Roman" w:hAnsi="Times New Roman"/>
                <w:sz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1" w:hRule="atLeast"/>
        </w:trPr>
        <w:tc>
          <w:tcPr>
            <w:tcW w:w="900" w:type="dxa"/>
            <w:vMerge w:val="continue"/>
            <w:tcBorders>
              <w:right w:val="single" w:color="auto" w:sz="4" w:space="0"/>
            </w:tcBorders>
            <w:vAlign w:val="center"/>
          </w:tcPr>
          <w:p>
            <w:pPr>
              <w:ind w:firstLine="480"/>
              <w:jc w:val="center"/>
              <w:rPr>
                <w:rFonts w:ascii="Times New Roman" w:hAnsi="Times New Roman"/>
              </w:rPr>
            </w:pPr>
          </w:p>
        </w:tc>
        <w:tc>
          <w:tcPr>
            <w:tcW w:w="1320" w:type="dxa"/>
            <w:vMerge w:val="continue"/>
            <w:tcBorders>
              <w:left w:val="single" w:color="auto" w:sz="4" w:space="0"/>
              <w:right w:val="single" w:color="auto" w:sz="4" w:space="0"/>
            </w:tcBorders>
            <w:vAlign w:val="center"/>
          </w:tcPr>
          <w:p>
            <w:pPr>
              <w:ind w:firstLine="480"/>
              <w:jc w:val="center"/>
              <w:rPr>
                <w:rFonts w:ascii="Times New Roman" w:hAnsi="Times New Roman"/>
              </w:rPr>
            </w:pPr>
          </w:p>
        </w:tc>
        <w:tc>
          <w:tcPr>
            <w:tcW w:w="2280" w:type="dxa"/>
            <w:tcBorders>
              <w:top w:val="single" w:color="auto" w:sz="4" w:space="0"/>
              <w:left w:val="single" w:color="auto" w:sz="4" w:space="0"/>
              <w:bottom w:val="single" w:color="auto" w:sz="4" w:space="0"/>
              <w:right w:val="single" w:color="auto" w:sz="4" w:space="0"/>
            </w:tcBorders>
            <w:vAlign w:val="center"/>
          </w:tcPr>
          <w:p>
            <w:pPr>
              <w:ind w:firstLine="480"/>
              <w:rPr>
                <w:rFonts w:ascii="Times New Roman" w:hAnsi="Times New Roman"/>
              </w:rPr>
            </w:pPr>
            <w:r>
              <w:rPr>
                <w:rFonts w:hint="eastAsia" w:asciiTheme="minorEastAsia" w:hAnsiTheme="minorEastAsia" w:eastAsiaTheme="minorEastAsia" w:cstheme="minorEastAsia"/>
              </w:rPr>
              <w:t>单价遗漏</w:t>
            </w:r>
          </w:p>
        </w:tc>
        <w:tc>
          <w:tcPr>
            <w:tcW w:w="4680" w:type="dxa"/>
            <w:tcBorders>
              <w:top w:val="single" w:color="auto" w:sz="4" w:space="0"/>
              <w:left w:val="single" w:color="auto" w:sz="4" w:space="0"/>
              <w:bottom w:val="single" w:color="auto" w:sz="4" w:space="0"/>
            </w:tcBorders>
            <w:vAlign w:val="center"/>
          </w:tcPr>
          <w:p>
            <w:pPr>
              <w:spacing w:line="320" w:lineRule="exact"/>
              <w:ind w:firstLine="0" w:firstLineChars="0"/>
              <w:rPr>
                <w:rFonts w:ascii="Times New Roman" w:hAnsi="Times New Roman"/>
              </w:rPr>
            </w:pPr>
            <w:r>
              <w:rPr>
                <w:rFonts w:hint="eastAsia" w:asciiTheme="minorEastAsia" w:hAnsiTheme="minorEastAsia" w:eastAsiaTheme="minorEastAsia" w:cstheme="minorEastAsia"/>
              </w:rPr>
              <w:t>报价清单如某项未填写报价的，视为已经分摊如其他项目中。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6" w:hRule="atLeast"/>
        </w:trPr>
        <w:tc>
          <w:tcPr>
            <w:tcW w:w="900" w:type="dxa"/>
            <w:vMerge w:val="continue"/>
            <w:tcBorders>
              <w:bottom w:val="single" w:color="auto" w:sz="4" w:space="0"/>
              <w:right w:val="single" w:color="auto" w:sz="4" w:space="0"/>
            </w:tcBorders>
            <w:vAlign w:val="center"/>
          </w:tcPr>
          <w:p>
            <w:pPr>
              <w:ind w:firstLine="480"/>
              <w:jc w:val="center"/>
              <w:rPr>
                <w:rFonts w:ascii="Times New Roman" w:hAnsi="Times New Roman"/>
              </w:rPr>
            </w:pPr>
          </w:p>
        </w:tc>
        <w:tc>
          <w:tcPr>
            <w:tcW w:w="1320" w:type="dxa"/>
            <w:vMerge w:val="continue"/>
            <w:tcBorders>
              <w:left w:val="single" w:color="auto" w:sz="4" w:space="0"/>
              <w:bottom w:val="single" w:color="auto" w:sz="4" w:space="0"/>
              <w:right w:val="single" w:color="auto" w:sz="4" w:space="0"/>
            </w:tcBorders>
            <w:vAlign w:val="center"/>
          </w:tcPr>
          <w:p>
            <w:pPr>
              <w:ind w:firstLine="480"/>
              <w:jc w:val="center"/>
              <w:rPr>
                <w:rFonts w:ascii="Times New Roman" w:hAnsi="Times New Roman"/>
              </w:rPr>
            </w:pPr>
          </w:p>
        </w:tc>
        <w:tc>
          <w:tcPr>
            <w:tcW w:w="2280" w:type="dxa"/>
            <w:tcBorders>
              <w:top w:val="single" w:color="auto" w:sz="4" w:space="0"/>
              <w:left w:val="single" w:color="auto" w:sz="4" w:space="0"/>
              <w:bottom w:val="single" w:color="auto" w:sz="4" w:space="0"/>
              <w:right w:val="single" w:color="auto" w:sz="4" w:space="0"/>
            </w:tcBorders>
            <w:vAlign w:val="center"/>
          </w:tcPr>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投标报价</w:t>
            </w:r>
          </w:p>
        </w:tc>
        <w:tc>
          <w:tcPr>
            <w:tcW w:w="4680" w:type="dxa"/>
            <w:tcBorders>
              <w:top w:val="single" w:color="auto" w:sz="4" w:space="0"/>
              <w:left w:val="single" w:color="auto" w:sz="4" w:space="0"/>
              <w:bottom w:val="single" w:color="auto" w:sz="4" w:space="0"/>
            </w:tcBorders>
            <w:vAlign w:val="center"/>
          </w:tcPr>
          <w:p>
            <w:pPr>
              <w:pStyle w:val="2"/>
              <w:ind w:firstLine="0" w:firstLineChars="0"/>
            </w:pPr>
            <w:r>
              <w:rPr>
                <w:rFonts w:ascii="Times New Roman" w:hAnsi="Times New Roman"/>
              </w:rPr>
              <w:t>符合第二章“投标人须知</w:t>
            </w:r>
            <w:r>
              <w:rPr>
                <w:rFonts w:hint="eastAsia" w:ascii="Times New Roman" w:hAnsi="Times New Roman"/>
              </w:rPr>
              <w:t>投标人须知前附表</w:t>
            </w:r>
            <w:r>
              <w:rPr>
                <w:rFonts w:ascii="Times New Roman" w:hAnsi="Times New Roman"/>
              </w:rPr>
              <w:t>”第</w:t>
            </w:r>
            <w:r>
              <w:rPr>
                <w:rFonts w:hint="eastAsia" w:ascii="Times New Roman" w:hAnsi="Times New Roman"/>
              </w:rPr>
              <w:t>3.2.4项</w:t>
            </w:r>
            <w:r>
              <w:rPr>
                <w:rFonts w:ascii="Times New Roman" w:hAnsi="Times New Roman"/>
              </w:rPr>
              <w:t>规定</w:t>
            </w:r>
            <w:r>
              <w:rPr>
                <w:rFonts w:hint="eastAsia" w:ascii="Times New Roman" w:hAnsi="Times New Roman"/>
                <w:sz w:val="21"/>
              </w:rPr>
              <w:t xml:space="preserve"> </w:t>
            </w:r>
          </w:p>
        </w:tc>
      </w:tr>
    </w:tbl>
    <w:p>
      <w:pPr>
        <w:spacing w:line="400" w:lineRule="exact"/>
        <w:ind w:firstLine="480"/>
        <w:rPr>
          <w:rFonts w:ascii="Times New Roman" w:hAnsi="Times New Roman"/>
        </w:rPr>
      </w:pPr>
      <w:r>
        <w:rPr>
          <w:rFonts w:ascii="Times New Roman" w:hAnsi="Times New Roman"/>
        </w:rPr>
        <w:br w:type="page"/>
      </w:r>
    </w:p>
    <w:p>
      <w:pPr>
        <w:pStyle w:val="6"/>
        <w:ind w:firstLine="560" w:firstLineChars="200"/>
      </w:pPr>
      <w:bookmarkStart w:id="334" w:name="_Toc18358"/>
      <w:r>
        <w:t>1. 评标方法</w:t>
      </w:r>
      <w:bookmarkEnd w:id="334"/>
    </w:p>
    <w:p>
      <w:pPr>
        <w:ind w:firstLine="480"/>
        <w:rPr>
          <w:rFonts w:ascii="Times New Roman" w:hAnsi="Times New Roman"/>
          <w:szCs w:val="24"/>
        </w:rPr>
      </w:pPr>
      <w:r>
        <w:rPr>
          <w:rFonts w:ascii="Times New Roman" w:hAnsi="Times New Roman"/>
          <w:szCs w:val="24"/>
        </w:rPr>
        <w:t>本次评标采用经评审的最低投标价法。评标委员会对满足招标文件实质性要求的投标文件，根据本章第2.2款规定的评标价格调整方法进行必要的价格调整，并按</w:t>
      </w:r>
      <w:r>
        <w:rPr>
          <w:rFonts w:hint="eastAsia" w:ascii="Times New Roman" w:hAnsi="Times New Roman"/>
          <w:szCs w:val="24"/>
        </w:rPr>
        <w:t>评标办法前附表要求推荐中标候选人</w:t>
      </w:r>
      <w:r>
        <w:rPr>
          <w:rFonts w:ascii="Times New Roman" w:hAnsi="Times New Roman"/>
          <w:szCs w:val="24"/>
        </w:rPr>
        <w:t>。</w:t>
      </w:r>
    </w:p>
    <w:p>
      <w:pPr>
        <w:pStyle w:val="6"/>
        <w:ind w:firstLine="560" w:firstLineChars="200"/>
      </w:pPr>
      <w:bookmarkStart w:id="335" w:name="_Toc16958"/>
      <w:r>
        <w:t>2. 评审标准</w:t>
      </w:r>
      <w:bookmarkEnd w:id="335"/>
    </w:p>
    <w:p>
      <w:pPr>
        <w:pStyle w:val="6"/>
        <w:ind w:firstLine="480" w:firstLineChars="200"/>
        <w:rPr>
          <w:rFonts w:ascii="Times New Roman" w:hAnsi="Times New Roman"/>
          <w:sz w:val="24"/>
          <w:szCs w:val="24"/>
        </w:rPr>
      </w:pPr>
      <w:bookmarkStart w:id="336" w:name="_Toc7695"/>
      <w:r>
        <w:rPr>
          <w:rFonts w:ascii="Times New Roman" w:hAnsi="Times New Roman"/>
          <w:sz w:val="24"/>
          <w:szCs w:val="24"/>
        </w:rPr>
        <w:t>2.1 初步评审标准</w:t>
      </w:r>
      <w:bookmarkEnd w:id="336"/>
    </w:p>
    <w:p>
      <w:pPr>
        <w:ind w:firstLine="480"/>
        <w:rPr>
          <w:rFonts w:ascii="Times New Roman" w:hAnsi="Times New Roman"/>
          <w:szCs w:val="24"/>
        </w:rPr>
      </w:pPr>
      <w:r>
        <w:rPr>
          <w:rFonts w:ascii="Times New Roman" w:hAnsi="Times New Roman"/>
          <w:szCs w:val="24"/>
        </w:rPr>
        <w:t>2.1.1 形式评审标准：见评标办法前附表。</w:t>
      </w:r>
    </w:p>
    <w:p>
      <w:pPr>
        <w:ind w:firstLine="480"/>
        <w:rPr>
          <w:rFonts w:ascii="Times New Roman" w:hAnsi="Times New Roman"/>
          <w:szCs w:val="24"/>
        </w:rPr>
      </w:pPr>
      <w:r>
        <w:rPr>
          <w:rFonts w:ascii="Times New Roman" w:hAnsi="Times New Roman"/>
          <w:szCs w:val="24"/>
        </w:rPr>
        <w:t>2.1.2 资格评审标准：见评标办法前附表。</w:t>
      </w:r>
    </w:p>
    <w:p>
      <w:pPr>
        <w:ind w:firstLine="480"/>
        <w:rPr>
          <w:rFonts w:ascii="Times New Roman" w:hAnsi="Times New Roman"/>
          <w:szCs w:val="24"/>
        </w:rPr>
      </w:pPr>
      <w:r>
        <w:rPr>
          <w:rFonts w:ascii="Times New Roman" w:hAnsi="Times New Roman"/>
          <w:szCs w:val="24"/>
        </w:rPr>
        <w:t>2.1.3 响应性评审标准：见评标办法前附表。</w:t>
      </w:r>
    </w:p>
    <w:p>
      <w:pPr>
        <w:pStyle w:val="6"/>
        <w:ind w:firstLine="480" w:firstLineChars="200"/>
        <w:rPr>
          <w:rFonts w:ascii="Times New Roman" w:hAnsi="Times New Roman"/>
          <w:sz w:val="24"/>
          <w:szCs w:val="24"/>
        </w:rPr>
      </w:pPr>
      <w:bookmarkStart w:id="337" w:name="_Toc19218"/>
      <w:r>
        <w:rPr>
          <w:rFonts w:ascii="Times New Roman" w:hAnsi="Times New Roman"/>
          <w:sz w:val="24"/>
          <w:szCs w:val="24"/>
        </w:rPr>
        <w:t xml:space="preserve">2.2 </w:t>
      </w:r>
      <w:r>
        <w:rPr>
          <w:rFonts w:hint="eastAsia" w:ascii="Times New Roman" w:hAnsi="Times New Roman"/>
          <w:sz w:val="24"/>
          <w:szCs w:val="24"/>
        </w:rPr>
        <w:t>详细评审标准</w:t>
      </w:r>
      <w:bookmarkEnd w:id="337"/>
    </w:p>
    <w:p>
      <w:pPr>
        <w:ind w:firstLine="480"/>
        <w:rPr>
          <w:rFonts w:ascii="Times New Roman" w:hAnsi="Times New Roman"/>
          <w:szCs w:val="24"/>
        </w:rPr>
      </w:pPr>
      <w:r>
        <w:rPr>
          <w:rFonts w:ascii="Times New Roman" w:hAnsi="Times New Roman"/>
          <w:szCs w:val="24"/>
        </w:rPr>
        <w:t>详细评审标准：见评标办法前附表。</w:t>
      </w:r>
    </w:p>
    <w:p>
      <w:pPr>
        <w:pStyle w:val="6"/>
        <w:ind w:firstLine="560" w:firstLineChars="200"/>
      </w:pPr>
      <w:bookmarkStart w:id="338" w:name="_Toc23193"/>
      <w:r>
        <w:t>3. 评标程序</w:t>
      </w:r>
      <w:bookmarkEnd w:id="338"/>
    </w:p>
    <w:p>
      <w:pPr>
        <w:pStyle w:val="6"/>
        <w:ind w:firstLine="480" w:firstLineChars="200"/>
        <w:rPr>
          <w:rFonts w:ascii="Times New Roman" w:hAnsi="Times New Roman"/>
          <w:sz w:val="24"/>
          <w:szCs w:val="24"/>
        </w:rPr>
      </w:pPr>
      <w:bookmarkStart w:id="339" w:name="_Toc8322"/>
      <w:r>
        <w:rPr>
          <w:rFonts w:ascii="Times New Roman" w:hAnsi="Times New Roman"/>
          <w:sz w:val="24"/>
          <w:szCs w:val="24"/>
        </w:rPr>
        <w:t>3.1 初步评审</w:t>
      </w:r>
      <w:bookmarkEnd w:id="339"/>
    </w:p>
    <w:p>
      <w:pPr>
        <w:ind w:firstLine="480"/>
        <w:rPr>
          <w:rFonts w:ascii="Times New Roman" w:hAnsi="Times New Roman"/>
          <w:szCs w:val="24"/>
        </w:rPr>
      </w:pPr>
      <w:r>
        <w:rPr>
          <w:rFonts w:ascii="Times New Roman" w:hAnsi="Times New Roman"/>
          <w:szCs w:val="24"/>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ind w:firstLine="480"/>
        <w:rPr>
          <w:rFonts w:ascii="Times New Roman" w:hAnsi="Times New Roman"/>
          <w:szCs w:val="24"/>
        </w:rPr>
      </w:pPr>
      <w:r>
        <w:rPr>
          <w:rFonts w:ascii="Times New Roman" w:hAnsi="Times New Roman"/>
          <w:szCs w:val="24"/>
        </w:rPr>
        <w:t>3.1.2 投标人有以下情形之一的，评标委员会应当否决其投标：</w:t>
      </w:r>
    </w:p>
    <w:p>
      <w:pPr>
        <w:ind w:firstLine="480"/>
        <w:rPr>
          <w:rFonts w:ascii="Times New Roman" w:hAnsi="Times New Roman"/>
          <w:szCs w:val="24"/>
        </w:rPr>
      </w:pPr>
      <w:r>
        <w:rPr>
          <w:rFonts w:ascii="Times New Roman" w:hAnsi="Times New Roman"/>
          <w:szCs w:val="24"/>
        </w:rPr>
        <w:t>（1）投标文件没有对招标文件的实质性要求和条件作出响应.或者对招标文件的偏差超出招标文件规定的偏差范围或最高项数；</w:t>
      </w:r>
    </w:p>
    <w:p>
      <w:pPr>
        <w:ind w:firstLine="480"/>
        <w:rPr>
          <w:rFonts w:ascii="Times New Roman" w:hAnsi="Times New Roman"/>
          <w:szCs w:val="24"/>
        </w:rPr>
      </w:pPr>
      <w:r>
        <w:rPr>
          <w:rFonts w:ascii="Times New Roman" w:hAnsi="Times New Roman"/>
          <w:szCs w:val="24"/>
        </w:rPr>
        <w:t>（2）有串通投标、弄虚作假、行贿等违法行为。</w:t>
      </w:r>
    </w:p>
    <w:p>
      <w:pPr>
        <w:ind w:firstLine="480"/>
        <w:rPr>
          <w:rFonts w:ascii="Times New Roman" w:hAnsi="Times New Roman"/>
          <w:szCs w:val="24"/>
        </w:rPr>
      </w:pPr>
      <w:r>
        <w:rPr>
          <w:rFonts w:ascii="Times New Roman" w:hAnsi="Times New Roman"/>
          <w:szCs w:val="24"/>
        </w:rPr>
        <w:t>3.1.3 投标报价有算术错误及其他错误的，评标委员会按以下原则要求投标人对投标报价进行修正，并要求投标人书面澄清确认。投标人拒不澄清确认的，评标委员会应当否决其投标：</w:t>
      </w:r>
    </w:p>
    <w:p>
      <w:pPr>
        <w:ind w:firstLine="480"/>
        <w:rPr>
          <w:rFonts w:ascii="Times New Roman" w:hAnsi="Times New Roman"/>
          <w:szCs w:val="24"/>
        </w:rPr>
      </w:pPr>
      <w:r>
        <w:rPr>
          <w:rFonts w:ascii="Times New Roman" w:hAnsi="Times New Roman"/>
          <w:szCs w:val="24"/>
        </w:rPr>
        <w:t>（1）投标文件中的大写金额与小写金额不一致的，以大写金额为准；</w:t>
      </w:r>
    </w:p>
    <w:p>
      <w:pPr>
        <w:ind w:firstLine="480"/>
        <w:rPr>
          <w:rFonts w:ascii="Times New Roman" w:hAnsi="Times New Roman"/>
          <w:szCs w:val="24"/>
        </w:rPr>
      </w:pPr>
      <w:r>
        <w:rPr>
          <w:rFonts w:ascii="Times New Roman" w:hAnsi="Times New Roman"/>
          <w:szCs w:val="24"/>
        </w:rPr>
        <w:t>（2）总价金额与单价金额不一致的，以单价金额为准，但单价金额小数点有明显错误的除外；</w:t>
      </w:r>
    </w:p>
    <w:p>
      <w:pPr>
        <w:ind w:firstLine="480"/>
        <w:rPr>
          <w:rFonts w:ascii="Times New Roman" w:hAnsi="Times New Roman"/>
          <w:szCs w:val="24"/>
        </w:rPr>
      </w:pPr>
      <w:r>
        <w:rPr>
          <w:rFonts w:ascii="Times New Roman" w:hAnsi="Times New Roman"/>
          <w:szCs w:val="24"/>
        </w:rPr>
        <w:t>（3）投标报价为各分项报价金额之和，投标报价与分项报价的合价不一致的，应以各分项合价累计数为准，修正投标报价；</w:t>
      </w:r>
    </w:p>
    <w:p>
      <w:pPr>
        <w:ind w:firstLine="480"/>
        <w:rPr>
          <w:rFonts w:ascii="Times New Roman" w:hAnsi="Times New Roman"/>
          <w:szCs w:val="24"/>
        </w:rPr>
      </w:pPr>
      <w:r>
        <w:rPr>
          <w:rFonts w:ascii="Times New Roman" w:hAnsi="Times New Roman"/>
          <w:szCs w:val="24"/>
        </w:rPr>
        <w:t>（4）</w:t>
      </w:r>
      <w:r>
        <w:rPr>
          <w:rFonts w:hint="eastAsia" w:ascii="Times New Roman" w:hAnsi="Times New Roman"/>
          <w:szCs w:val="24"/>
        </w:rPr>
        <w:t>如果</w:t>
      </w:r>
      <w:r>
        <w:rPr>
          <w:rFonts w:ascii="Times New Roman" w:hAnsi="Times New Roman"/>
          <w:szCs w:val="24"/>
        </w:rPr>
        <w:t>分项报价中存在缺漏项，则视为缺漏项价格已包含在其他分项报价之中。</w:t>
      </w:r>
    </w:p>
    <w:p>
      <w:pPr>
        <w:pStyle w:val="6"/>
        <w:ind w:firstLine="480" w:firstLineChars="200"/>
        <w:rPr>
          <w:rFonts w:ascii="Times New Roman" w:hAnsi="Times New Roman"/>
          <w:sz w:val="24"/>
          <w:szCs w:val="24"/>
        </w:rPr>
      </w:pPr>
      <w:bookmarkStart w:id="340" w:name="_Toc2235"/>
      <w:r>
        <w:rPr>
          <w:rFonts w:ascii="Times New Roman" w:hAnsi="Times New Roman"/>
          <w:sz w:val="24"/>
          <w:szCs w:val="24"/>
        </w:rPr>
        <w:t xml:space="preserve">3.2 </w:t>
      </w:r>
      <w:r>
        <w:rPr>
          <w:rFonts w:hint="eastAsia" w:ascii="Times New Roman" w:hAnsi="Times New Roman"/>
          <w:sz w:val="24"/>
          <w:szCs w:val="24"/>
        </w:rPr>
        <w:t>详细评审</w:t>
      </w:r>
      <w:bookmarkEnd w:id="340"/>
    </w:p>
    <w:p>
      <w:pPr>
        <w:ind w:firstLine="480"/>
        <w:rPr>
          <w:rFonts w:ascii="Times New Roman" w:hAnsi="Times New Roman"/>
          <w:szCs w:val="24"/>
        </w:rPr>
      </w:pPr>
      <w:r>
        <w:rPr>
          <w:rFonts w:ascii="Times New Roman" w:hAnsi="Times New Roman"/>
          <w:szCs w:val="24"/>
        </w:rPr>
        <w:t>3.2.1 评标委员会按本章第2</w:t>
      </w:r>
      <w:bookmarkStart w:id="341" w:name="_Toc5752"/>
      <w:r>
        <w:rPr>
          <w:rFonts w:ascii="Times New Roman" w:hAnsi="Times New Roman"/>
          <w:szCs w:val="24"/>
        </w:rPr>
        <w:t>.2款规定的评标价格调整方法进行必要的价格调整，</w:t>
      </w:r>
      <w:bookmarkEnd w:id="341"/>
      <w:r>
        <w:rPr>
          <w:rFonts w:ascii="Times New Roman" w:hAnsi="Times New Roman"/>
          <w:szCs w:val="24"/>
        </w:rPr>
        <w:t>并编制“标价比较表”。</w:t>
      </w:r>
    </w:p>
    <w:p>
      <w:pPr>
        <w:ind w:firstLine="480"/>
        <w:rPr>
          <w:rFonts w:ascii="Times New Roman" w:hAnsi="Times New Roman"/>
          <w:szCs w:val="24"/>
        </w:rPr>
      </w:pPr>
      <w:r>
        <w:rPr>
          <w:rFonts w:ascii="Times New Roman" w:hAnsi="Times New Roman"/>
          <w:szCs w:val="24"/>
        </w:rPr>
        <w:t>3.2.2 评标委员会发现投标人的报价明显低于其他投标报价，使得其投标报价可能低于其成本的，应当要求该投标人作出书面说明并提</w:t>
      </w:r>
      <w:bookmarkStart w:id="342" w:name="_Toc20421"/>
      <w:r>
        <w:rPr>
          <w:rFonts w:ascii="Times New Roman" w:hAnsi="Times New Roman"/>
          <w:szCs w:val="24"/>
        </w:rPr>
        <w:t>供相应的证明材料。投</w:t>
      </w:r>
      <w:bookmarkEnd w:id="342"/>
      <w:r>
        <w:rPr>
          <w:rFonts w:ascii="Times New Roman" w:hAnsi="Times New Roman"/>
          <w:szCs w:val="24"/>
        </w:rPr>
        <w:t>标人不能合理说明或者不能提供相应证明材料的，</w:t>
      </w:r>
      <w:bookmarkStart w:id="343" w:name="_Toc342"/>
      <w:r>
        <w:rPr>
          <w:rFonts w:ascii="Times New Roman" w:hAnsi="Times New Roman"/>
          <w:szCs w:val="24"/>
        </w:rPr>
        <w:t>由评标委员会认</w:t>
      </w:r>
      <w:bookmarkEnd w:id="343"/>
      <w:r>
        <w:rPr>
          <w:rFonts w:ascii="Times New Roman" w:hAnsi="Times New Roman"/>
          <w:szCs w:val="24"/>
        </w:rPr>
        <w:t>定</w:t>
      </w:r>
      <w:bookmarkStart w:id="344" w:name="_Toc30757"/>
      <w:r>
        <w:rPr>
          <w:rFonts w:ascii="Times New Roman" w:hAnsi="Times New Roman"/>
          <w:szCs w:val="24"/>
        </w:rPr>
        <w:t>该投标人以低于成</w:t>
      </w:r>
      <w:bookmarkEnd w:id="344"/>
      <w:r>
        <w:rPr>
          <w:rFonts w:ascii="Times New Roman" w:hAnsi="Times New Roman"/>
          <w:szCs w:val="24"/>
        </w:rPr>
        <w:t>本报价竞标，并否决其投标。</w:t>
      </w:r>
    </w:p>
    <w:p>
      <w:pPr>
        <w:pStyle w:val="6"/>
        <w:ind w:firstLine="480" w:firstLineChars="200"/>
        <w:rPr>
          <w:rFonts w:ascii="Times New Roman" w:hAnsi="Times New Roman"/>
          <w:sz w:val="24"/>
          <w:szCs w:val="24"/>
        </w:rPr>
      </w:pPr>
      <w:bookmarkStart w:id="345" w:name="_Toc7144"/>
      <w:r>
        <w:rPr>
          <w:rFonts w:ascii="Times New Roman" w:hAnsi="Times New Roman"/>
          <w:sz w:val="24"/>
          <w:szCs w:val="24"/>
        </w:rPr>
        <w:t>3.3 投标文件的澄清</w:t>
      </w:r>
      <w:bookmarkEnd w:id="345"/>
    </w:p>
    <w:p>
      <w:pPr>
        <w:ind w:firstLine="480"/>
        <w:rPr>
          <w:rFonts w:ascii="Times New Roman" w:hAnsi="Times New Roman"/>
          <w:szCs w:val="24"/>
        </w:rPr>
      </w:pPr>
      <w:r>
        <w:rPr>
          <w:rFonts w:ascii="Times New Roman" w:hAnsi="Times New Roman"/>
          <w:szCs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ind w:firstLine="480"/>
        <w:rPr>
          <w:rFonts w:ascii="Times New Roman" w:hAnsi="Times New Roman"/>
          <w:szCs w:val="24"/>
        </w:rPr>
      </w:pPr>
      <w:r>
        <w:rPr>
          <w:rFonts w:ascii="Times New Roman" w:hAnsi="Times New Roman"/>
          <w:szCs w:val="24"/>
        </w:rPr>
        <w:t>3.3.2 澄清、说明或补正不得超出投标文件的范围且不得改变投标文件的实质性内容，并构成投标文件的组成部分。</w:t>
      </w:r>
    </w:p>
    <w:p>
      <w:pPr>
        <w:ind w:firstLine="480"/>
        <w:rPr>
          <w:rFonts w:ascii="Times New Roman" w:hAnsi="Times New Roman"/>
          <w:szCs w:val="24"/>
        </w:rPr>
      </w:pPr>
      <w:r>
        <w:rPr>
          <w:rFonts w:ascii="Times New Roman" w:hAnsi="Times New Roman"/>
          <w:szCs w:val="24"/>
        </w:rPr>
        <w:t>3.3.3 评标委员会对投标人提交的澄清、说明或补正有疑问的，可以要求投标人进一步澄清、说明或补正，直至满足评标委员会的要求。</w:t>
      </w:r>
    </w:p>
    <w:p>
      <w:pPr>
        <w:pStyle w:val="6"/>
        <w:ind w:firstLine="480" w:firstLineChars="200"/>
        <w:rPr>
          <w:rFonts w:ascii="Times New Roman" w:hAnsi="Times New Roman"/>
          <w:sz w:val="24"/>
          <w:szCs w:val="24"/>
        </w:rPr>
      </w:pPr>
      <w:bookmarkStart w:id="346" w:name="_Toc20935"/>
      <w:r>
        <w:rPr>
          <w:rFonts w:ascii="Times New Roman" w:hAnsi="Times New Roman"/>
          <w:sz w:val="24"/>
          <w:szCs w:val="24"/>
        </w:rPr>
        <w:t>3.4 评标结果</w:t>
      </w:r>
      <w:bookmarkEnd w:id="346"/>
    </w:p>
    <w:p>
      <w:pPr>
        <w:ind w:firstLine="480"/>
        <w:rPr>
          <w:rFonts w:ascii="Times New Roman" w:hAnsi="Times New Roman"/>
          <w:szCs w:val="24"/>
        </w:rPr>
      </w:pPr>
      <w:r>
        <w:rPr>
          <w:rFonts w:ascii="Times New Roman" w:hAnsi="Times New Roman"/>
          <w:szCs w:val="24"/>
        </w:rPr>
        <w:t>3.4.1 除第二章“投标人须知”前附表授权直接确定中标人外，评标委员会按照经评审的价格由低到高的顺序推荐中标候选人，并标明排序。</w:t>
      </w:r>
    </w:p>
    <w:p>
      <w:pPr>
        <w:ind w:firstLine="480"/>
        <w:rPr>
          <w:rFonts w:ascii="Times New Roman" w:hAnsi="Times New Roman"/>
          <w:szCs w:val="24"/>
        </w:rPr>
      </w:pPr>
      <w:r>
        <w:rPr>
          <w:rFonts w:ascii="Times New Roman" w:hAnsi="Times New Roman"/>
          <w:szCs w:val="24"/>
        </w:rPr>
        <w:t>3.4.2 评标委员会完成评标后，应当向招标人提交书面评标报告和中标候选人名单。</w:t>
      </w:r>
    </w:p>
    <w:p>
      <w:pPr>
        <w:spacing w:line="400" w:lineRule="exact"/>
        <w:ind w:firstLine="480"/>
        <w:jc w:val="center"/>
        <w:rPr>
          <w:rFonts w:ascii="Times New Roman" w:hAnsi="Times New Roman"/>
        </w:rPr>
      </w:pPr>
    </w:p>
    <w:p>
      <w:pPr>
        <w:pStyle w:val="4"/>
        <w:ind w:firstLine="883"/>
        <w:jc w:val="center"/>
      </w:pPr>
      <w:r>
        <w:br w:type="page"/>
      </w:r>
      <w:bookmarkStart w:id="347" w:name="_Toc10531"/>
      <w:bookmarkStart w:id="348" w:name="_Toc25007"/>
      <w:r>
        <w:t>第四章</w:t>
      </w:r>
      <w:r>
        <w:rPr>
          <w:rFonts w:hint="eastAsia"/>
        </w:rPr>
        <w:t xml:space="preserve"> </w:t>
      </w:r>
      <w:r>
        <w:t>合同条款及格式</w:t>
      </w:r>
      <w:bookmarkEnd w:id="347"/>
      <w:bookmarkEnd w:id="348"/>
    </w:p>
    <w:p>
      <w:pPr>
        <w:pStyle w:val="4"/>
        <w:ind w:firstLine="883"/>
        <w:jc w:val="center"/>
      </w:pPr>
      <w:r>
        <w:br w:type="page"/>
      </w:r>
    </w:p>
    <w:p>
      <w:pPr>
        <w:pStyle w:val="5"/>
        <w:ind w:firstLine="562"/>
        <w:rPr>
          <w:rFonts w:ascii="Times New Roman" w:hAnsi="Times New Roman"/>
        </w:rPr>
      </w:pPr>
      <w:bookmarkStart w:id="349" w:name="_Toc8856"/>
      <w:r>
        <w:rPr>
          <w:rFonts w:ascii="Times New Roman" w:hAnsi="Times New Roman"/>
        </w:rPr>
        <w:t>第一节</w:t>
      </w:r>
      <w:r>
        <w:rPr>
          <w:rFonts w:hint="eastAsia" w:ascii="Times New Roman" w:hAnsi="Times New Roman"/>
        </w:rPr>
        <w:t xml:space="preserve"> </w:t>
      </w:r>
      <w:r>
        <w:rPr>
          <w:rFonts w:ascii="Times New Roman" w:hAnsi="Times New Roman"/>
        </w:rPr>
        <w:t>合同条款</w:t>
      </w:r>
      <w:bookmarkEnd w:id="349"/>
    </w:p>
    <w:p>
      <w:pPr>
        <w:ind w:firstLine="480"/>
        <w:jc w:val="center"/>
        <w:rPr>
          <w:b/>
          <w:sz w:val="44"/>
          <w:szCs w:val="44"/>
        </w:rPr>
      </w:pPr>
      <w:r>
        <w:br w:type="page"/>
      </w:r>
      <w:bookmarkStart w:id="350" w:name="_Toc366443482"/>
      <w:bookmarkStart w:id="351" w:name="_Toc236478881"/>
      <w:bookmarkStart w:id="352" w:name="_Toc239345788"/>
      <w:r>
        <w:rPr>
          <w:rFonts w:hint="eastAsia"/>
          <w:b/>
          <w:sz w:val="44"/>
          <w:szCs w:val="44"/>
        </w:rPr>
        <w:t>合同</w:t>
      </w:r>
      <w:bookmarkEnd w:id="350"/>
      <w:bookmarkEnd w:id="351"/>
      <w:bookmarkEnd w:id="352"/>
      <w:r>
        <w:rPr>
          <w:rFonts w:hint="eastAsia"/>
          <w:b/>
          <w:sz w:val="44"/>
          <w:szCs w:val="44"/>
        </w:rPr>
        <w:t>条款</w:t>
      </w:r>
    </w:p>
    <w:p>
      <w:pPr>
        <w:pStyle w:val="3"/>
        <w:ind w:firstLine="480"/>
        <w:rPr>
          <w:rFonts w:ascii="黑体" w:eastAsia="黑体"/>
          <w:szCs w:val="24"/>
        </w:rPr>
      </w:pPr>
      <w:r>
        <w:rPr>
          <w:rFonts w:hint="eastAsia" w:ascii="黑体" w:eastAsia="黑体"/>
          <w:szCs w:val="24"/>
        </w:rPr>
        <w:t>1.定义</w:t>
      </w:r>
    </w:p>
    <w:p>
      <w:pPr>
        <w:pStyle w:val="3"/>
        <w:ind w:firstLine="480"/>
        <w:rPr>
          <w:szCs w:val="24"/>
        </w:rPr>
      </w:pPr>
      <w:r>
        <w:rPr>
          <w:rFonts w:hint="eastAsia"/>
          <w:szCs w:val="24"/>
        </w:rPr>
        <w:t>1.1“采购人”本项目采购人为：四川兴蜀公路建设发展有限责任公司 “招标人”为：四川兴蜀公路建设发展有限责任公司。</w:t>
      </w:r>
    </w:p>
    <w:p>
      <w:pPr>
        <w:pStyle w:val="3"/>
        <w:ind w:firstLine="480"/>
        <w:rPr>
          <w:szCs w:val="24"/>
        </w:rPr>
      </w:pPr>
      <w:r>
        <w:rPr>
          <w:rFonts w:hint="eastAsia"/>
          <w:szCs w:val="24"/>
        </w:rPr>
        <w:t>1.2“供货人”指其投标书已为招标人所接受，并与招标人签订了合同协议书承担本项目设备供货的单位，以及取得该当事人(单位)资格的合法继承人。</w:t>
      </w:r>
    </w:p>
    <w:p>
      <w:pPr>
        <w:pStyle w:val="3"/>
        <w:ind w:firstLine="480"/>
        <w:rPr>
          <w:szCs w:val="24"/>
        </w:rPr>
      </w:pPr>
      <w:r>
        <w:rPr>
          <w:rFonts w:hint="eastAsia"/>
          <w:szCs w:val="24"/>
        </w:rPr>
        <w:t>1.3“合同”指合同条件、技术规范、供货清单、投标书、中标通知书、合同协议书，以及有可能明确加在中标通知书或合同协议书之内的这些补充文件。</w:t>
      </w:r>
    </w:p>
    <w:p>
      <w:pPr>
        <w:pStyle w:val="3"/>
        <w:ind w:firstLine="480"/>
        <w:rPr>
          <w:szCs w:val="24"/>
        </w:rPr>
      </w:pPr>
      <w:r>
        <w:rPr>
          <w:rFonts w:hint="eastAsia"/>
          <w:szCs w:val="24"/>
        </w:rPr>
        <w:t>1.4“规范”指合同中包括的技术规格、参数及经招标人批准对技术规格、参数的任何修改和补充。</w:t>
      </w:r>
    </w:p>
    <w:p>
      <w:pPr>
        <w:pStyle w:val="3"/>
        <w:ind w:firstLine="480"/>
        <w:rPr>
          <w:szCs w:val="24"/>
        </w:rPr>
      </w:pPr>
      <w:r>
        <w:rPr>
          <w:rFonts w:hint="eastAsia"/>
          <w:szCs w:val="24"/>
        </w:rPr>
        <w:t>1.5“合同价”指在中标通知书中写明的供货人按合同规定实施和完成供货应得到的支付价款总额。</w:t>
      </w:r>
    </w:p>
    <w:p>
      <w:pPr>
        <w:pStyle w:val="3"/>
        <w:ind w:firstLine="480"/>
        <w:rPr>
          <w:szCs w:val="24"/>
        </w:rPr>
      </w:pPr>
      <w:r>
        <w:rPr>
          <w:rFonts w:hint="eastAsia"/>
          <w:szCs w:val="24"/>
        </w:rPr>
        <w:t>1.6“供货期”是指完成合同签订并生效后，按有关合同条款的规定，完成全部设备供货的时间，本项目供货期为签订合同后</w:t>
      </w:r>
      <w:r>
        <w:rPr>
          <w:rFonts w:hint="eastAsia"/>
          <w:szCs w:val="24"/>
          <w:u w:val="single"/>
        </w:rPr>
        <w:t>120日历天</w:t>
      </w:r>
      <w:r>
        <w:rPr>
          <w:rFonts w:hint="eastAsia"/>
          <w:szCs w:val="24"/>
        </w:rPr>
        <w:t>内到货。</w:t>
      </w:r>
    </w:p>
    <w:p>
      <w:pPr>
        <w:pStyle w:val="3"/>
        <w:ind w:firstLine="480"/>
        <w:rPr>
          <w:szCs w:val="24"/>
        </w:rPr>
      </w:pPr>
      <w:r>
        <w:rPr>
          <w:rFonts w:hint="eastAsia"/>
          <w:szCs w:val="24"/>
        </w:rPr>
        <w:t>1.7“质保期”是指设备的质量保证期，即从设备运达交货现场，安装调试完成，招标人签发接收证书之日算起，该期限为12个月（或按国家相关规定）。</w:t>
      </w:r>
    </w:p>
    <w:p>
      <w:pPr>
        <w:pStyle w:val="3"/>
        <w:ind w:firstLine="480"/>
        <w:rPr>
          <w:rFonts w:ascii="黑体" w:eastAsia="黑体"/>
          <w:szCs w:val="24"/>
        </w:rPr>
      </w:pPr>
      <w:r>
        <w:rPr>
          <w:rFonts w:hint="eastAsia" w:ascii="黑体" w:eastAsia="黑体"/>
          <w:szCs w:val="24"/>
        </w:rPr>
        <w:t>2.技术规格</w:t>
      </w:r>
    </w:p>
    <w:p>
      <w:pPr>
        <w:pStyle w:val="3"/>
        <w:ind w:firstLine="480"/>
        <w:rPr>
          <w:szCs w:val="24"/>
        </w:rPr>
      </w:pPr>
      <w:r>
        <w:rPr>
          <w:rFonts w:hint="eastAsia"/>
          <w:szCs w:val="24"/>
        </w:rPr>
        <w:t>2.1本项目招标的设备的详细技术标准、规格和质量要求另见本文件第五章技术规范和相关服务要求。</w:t>
      </w:r>
    </w:p>
    <w:p>
      <w:pPr>
        <w:pStyle w:val="3"/>
        <w:ind w:firstLine="480"/>
        <w:rPr>
          <w:szCs w:val="24"/>
        </w:rPr>
      </w:pPr>
      <w:r>
        <w:rPr>
          <w:rFonts w:hint="eastAsia" w:ascii="黑体" w:eastAsia="黑体"/>
          <w:szCs w:val="24"/>
        </w:rPr>
        <w:t>3.资金来源和</w:t>
      </w:r>
      <w:r>
        <w:rPr>
          <w:rFonts w:hint="eastAsia"/>
          <w:szCs w:val="24"/>
        </w:rPr>
        <w:t>设备产地</w:t>
      </w:r>
    </w:p>
    <w:p>
      <w:pPr>
        <w:pStyle w:val="3"/>
        <w:ind w:firstLine="480"/>
        <w:rPr>
          <w:szCs w:val="24"/>
        </w:rPr>
      </w:pPr>
      <w:r>
        <w:rPr>
          <w:rFonts w:hint="eastAsia"/>
          <w:szCs w:val="24"/>
        </w:rPr>
        <w:t>3.1本招标项目的资金来源为招标人自有资金。</w:t>
      </w:r>
    </w:p>
    <w:p>
      <w:pPr>
        <w:pStyle w:val="3"/>
        <w:ind w:firstLine="480"/>
        <w:rPr>
          <w:szCs w:val="24"/>
        </w:rPr>
      </w:pPr>
      <w:r>
        <w:rPr>
          <w:rFonts w:hint="eastAsia"/>
          <w:szCs w:val="24"/>
        </w:rPr>
        <w:t>3.2本项目提供的设备和服务应来源于我国国内或国外进口国内组装且完全符合本合同文件技术要求的装置。</w:t>
      </w:r>
    </w:p>
    <w:p>
      <w:pPr>
        <w:pStyle w:val="3"/>
        <w:ind w:firstLine="480"/>
        <w:rPr>
          <w:szCs w:val="24"/>
        </w:rPr>
      </w:pPr>
      <w:r>
        <w:rPr>
          <w:rFonts w:hint="eastAsia"/>
          <w:szCs w:val="24"/>
        </w:rPr>
        <w:t>4.供货人的责任和义务</w:t>
      </w:r>
    </w:p>
    <w:p>
      <w:pPr>
        <w:pStyle w:val="3"/>
        <w:adjustRightInd w:val="0"/>
        <w:snapToGrid w:val="0"/>
        <w:ind w:firstLine="480"/>
        <w:rPr>
          <w:rFonts w:hAnsi="宋体"/>
          <w:szCs w:val="24"/>
        </w:rPr>
      </w:pPr>
      <w:r>
        <w:rPr>
          <w:rFonts w:hint="eastAsia" w:hAnsi="宋体"/>
          <w:szCs w:val="24"/>
        </w:rPr>
        <w:t>4.1供货人应严格按照合同约定以其应有的精心与勤奋去履行和完成车辆供应。</w:t>
      </w:r>
    </w:p>
    <w:p>
      <w:pPr>
        <w:pStyle w:val="3"/>
        <w:adjustRightInd w:val="0"/>
        <w:snapToGrid w:val="0"/>
        <w:ind w:firstLine="480"/>
        <w:rPr>
          <w:rFonts w:hAnsi="宋体"/>
          <w:szCs w:val="24"/>
        </w:rPr>
      </w:pPr>
      <w:r>
        <w:rPr>
          <w:rFonts w:hint="eastAsia" w:hAnsi="宋体"/>
          <w:szCs w:val="24"/>
        </w:rPr>
        <w:t>4.2供货人要确认在送交投标文件之前，已对本合同设备供应的投标文件和标价的设备清单中开列的单价和总额价的正确性与完备性是满意的。除在合同中另有规定外，投标的单价和总额价已包括了合同中规定的供货人的全部义务；以及为实施和完成本合同设备供应和其质保期内缺陷修复所必需的一切工作和事宜。</w:t>
      </w:r>
    </w:p>
    <w:p>
      <w:pPr>
        <w:pStyle w:val="3"/>
        <w:adjustRightInd w:val="0"/>
        <w:snapToGrid w:val="0"/>
        <w:ind w:firstLine="480"/>
        <w:rPr>
          <w:rFonts w:hAnsi="宋体"/>
          <w:szCs w:val="24"/>
        </w:rPr>
      </w:pPr>
      <w:r>
        <w:rPr>
          <w:rFonts w:hint="eastAsia" w:hAnsi="宋体"/>
          <w:szCs w:val="24"/>
        </w:rPr>
        <w:t>4.3供货人应遵守现行国家、省的有关法律法规。如果因供货人或其派遣人员违反了这些法律法规，从而导致债务、损失、索赔、罚金、处罚和费用，不论其性质如何，招标人不承担任何责任。</w:t>
      </w:r>
    </w:p>
    <w:p>
      <w:pPr>
        <w:pStyle w:val="3"/>
        <w:adjustRightInd w:val="0"/>
        <w:snapToGrid w:val="0"/>
        <w:ind w:firstLine="480"/>
        <w:rPr>
          <w:rFonts w:hAnsi="宋体"/>
          <w:szCs w:val="24"/>
        </w:rPr>
      </w:pPr>
      <w:r>
        <w:rPr>
          <w:rFonts w:hint="eastAsia" w:hAnsi="宋体"/>
          <w:szCs w:val="24"/>
        </w:rPr>
        <w:t>4.4供货人不得将本采购合同或其中任何部分转让给其他法人或自然人，否则将按供货人违约处理。招标人一经发现，以发出书面通知书的14天内未见纠正，将停止支付并按延期交货赔偿直至终止合同并没收履约担保。</w:t>
      </w:r>
    </w:p>
    <w:p>
      <w:pPr>
        <w:adjustRightInd w:val="0"/>
        <w:snapToGrid w:val="0"/>
        <w:ind w:firstLine="480"/>
        <w:rPr>
          <w:rFonts w:ascii="宋体" w:hAnsi="宋体"/>
          <w:szCs w:val="24"/>
        </w:rPr>
      </w:pPr>
      <w:r>
        <w:rPr>
          <w:rFonts w:hint="eastAsia" w:ascii="宋体" w:hAnsi="宋体"/>
          <w:szCs w:val="24"/>
        </w:rPr>
        <w:t>4.5供货人应完成拟供车辆运输、装卸、存储、安装、调试、牌照上户、后期服务等工作。</w:t>
      </w:r>
    </w:p>
    <w:p>
      <w:pPr>
        <w:adjustRightInd w:val="0"/>
        <w:snapToGrid w:val="0"/>
        <w:ind w:firstLine="480"/>
        <w:rPr>
          <w:rFonts w:ascii="宋体" w:hAnsi="宋体"/>
          <w:szCs w:val="24"/>
        </w:rPr>
      </w:pPr>
      <w:r>
        <w:rPr>
          <w:rFonts w:hint="eastAsia" w:ascii="宋体" w:hAnsi="宋体"/>
          <w:szCs w:val="24"/>
        </w:rPr>
        <w:t>4.6本次采购设备要求按招标人</w:t>
      </w:r>
      <w:r>
        <w:rPr>
          <w:rFonts w:hint="eastAsia" w:ascii="宋体" w:hAnsi="宋体"/>
          <w:bCs/>
          <w:szCs w:val="24"/>
        </w:rPr>
        <w:t>签订合同协议计划</w:t>
      </w:r>
      <w:r>
        <w:rPr>
          <w:rFonts w:hint="eastAsia" w:ascii="宋体" w:hAnsi="宋体"/>
          <w:szCs w:val="24"/>
        </w:rPr>
        <w:t>供货，将设备运到指定地址交验、组织实施、支付。</w:t>
      </w:r>
    </w:p>
    <w:p>
      <w:pPr>
        <w:adjustRightInd w:val="0"/>
        <w:snapToGrid w:val="0"/>
        <w:ind w:firstLine="480"/>
        <w:rPr>
          <w:rFonts w:ascii="宋体" w:hAnsi="宋体"/>
          <w:szCs w:val="24"/>
        </w:rPr>
      </w:pPr>
      <w:r>
        <w:rPr>
          <w:rFonts w:hint="eastAsia" w:ascii="宋体" w:hAnsi="宋体"/>
          <w:szCs w:val="24"/>
        </w:rPr>
        <w:t>4.7供货人在投标文件中约定的设备品牌其型号规格、技术参数原则上不得改变，确因生产商或供货人某种原因需要改变的，其型号规格、技术参数不得低于招标文件的约定且须经采购人同意，但招标人仍将不免除供货人的违约责任。</w:t>
      </w:r>
    </w:p>
    <w:p>
      <w:pPr>
        <w:pStyle w:val="3"/>
        <w:adjustRightInd w:val="0"/>
        <w:snapToGrid w:val="0"/>
        <w:ind w:firstLine="480"/>
        <w:rPr>
          <w:rFonts w:hAnsi="宋体"/>
          <w:szCs w:val="24"/>
        </w:rPr>
      </w:pPr>
      <w:r>
        <w:rPr>
          <w:rFonts w:hint="eastAsia" w:hAnsi="宋体"/>
          <w:szCs w:val="24"/>
        </w:rPr>
        <w:t>4.8投标人应在投标时充分考虑所报设备的生产有效期及供货周期，中标后不得以所选设备停产或供货期过长为由更换产品品牌及规格，若合同执行期间发生上述情况，采购人有权在单价不变的情况下选择更高端的品牌和规格予以替换。</w:t>
      </w:r>
    </w:p>
    <w:p>
      <w:pPr>
        <w:pStyle w:val="3"/>
        <w:adjustRightInd w:val="0"/>
        <w:snapToGrid w:val="0"/>
        <w:ind w:firstLine="480"/>
        <w:rPr>
          <w:rFonts w:hAnsi="宋体"/>
          <w:szCs w:val="24"/>
        </w:rPr>
      </w:pPr>
      <w:r>
        <w:rPr>
          <w:rFonts w:hint="eastAsia" w:hAnsi="宋体"/>
          <w:szCs w:val="24"/>
        </w:rPr>
        <w:t>4.9招标人对供货人与其分包人之间的法律与经济纠纷不承担任何责任和义务。</w:t>
      </w:r>
    </w:p>
    <w:p>
      <w:pPr>
        <w:pStyle w:val="3"/>
        <w:adjustRightInd w:val="0"/>
        <w:snapToGrid w:val="0"/>
        <w:ind w:firstLine="480"/>
        <w:rPr>
          <w:rFonts w:hAnsi="宋体"/>
          <w:szCs w:val="24"/>
        </w:rPr>
      </w:pPr>
      <w:r>
        <w:rPr>
          <w:rFonts w:hint="eastAsia" w:hAnsi="宋体"/>
          <w:szCs w:val="24"/>
        </w:rPr>
        <w:t>4.10由于本次招标设备的供货期较紧，要求设备能尽快投入正常使用，因此要求设备供货人应有良好的服务。及时做好供货、调试培训和零配件服务，以满足项目的急需，保修期内车辆因故障停驶经检查属产品质量问题造成，厂家应根据国家相关法律法规进行维修或更换。</w:t>
      </w:r>
    </w:p>
    <w:p>
      <w:pPr>
        <w:pStyle w:val="3"/>
        <w:adjustRightInd w:val="0"/>
        <w:snapToGrid w:val="0"/>
        <w:ind w:firstLine="480"/>
        <w:rPr>
          <w:rFonts w:hAnsi="宋体"/>
          <w:szCs w:val="24"/>
        </w:rPr>
      </w:pPr>
      <w:r>
        <w:rPr>
          <w:rFonts w:hint="eastAsia" w:hAnsi="宋体"/>
          <w:szCs w:val="24"/>
        </w:rPr>
        <w:t>4.11</w:t>
      </w:r>
      <w:r>
        <w:rPr>
          <w:rFonts w:hint="eastAsia" w:hAnsi="宋体"/>
          <w:spacing w:val="-4"/>
          <w:szCs w:val="24"/>
        </w:rPr>
        <w:t>本次采购按车辆要求，到场交付后应免费派人员安装、调试及</w:t>
      </w:r>
      <w:r>
        <w:rPr>
          <w:rFonts w:hint="eastAsia" w:hAnsi="宋体"/>
          <w:szCs w:val="24"/>
        </w:rPr>
        <w:t>培训以保证设备质量不致偏离技术规范和正常运行的要求，此项调试、培训费用应包含在投标报价中。</w:t>
      </w:r>
    </w:p>
    <w:p>
      <w:pPr>
        <w:pStyle w:val="3"/>
        <w:adjustRightInd w:val="0"/>
        <w:snapToGrid w:val="0"/>
        <w:ind w:firstLine="480"/>
        <w:rPr>
          <w:rFonts w:ascii="Times New Roman" w:hAnsi="宋体"/>
          <w:spacing w:val="-4"/>
          <w:szCs w:val="24"/>
        </w:rPr>
      </w:pPr>
      <w:r>
        <w:rPr>
          <w:rFonts w:hint="eastAsia" w:hAnsi="宋体"/>
          <w:szCs w:val="24"/>
        </w:rPr>
        <w:t>4.12</w:t>
      </w:r>
      <w:r>
        <w:rPr>
          <w:rFonts w:hint="eastAsia" w:hAnsi="宋体"/>
          <w:spacing w:val="-4"/>
          <w:szCs w:val="24"/>
        </w:rPr>
        <w:t>供货合同</w:t>
      </w:r>
      <w:r>
        <w:rPr>
          <w:rFonts w:hint="eastAsia" w:ascii="Times New Roman" w:hAnsi="宋体"/>
          <w:spacing w:val="-4"/>
          <w:szCs w:val="24"/>
        </w:rPr>
        <w:t>生效后，供货人每台设备都须提供全部的质量资料（质量认证、国家汽车强制性3C认证、产品说明书和原厂车辆产品合格证等）；</w:t>
      </w:r>
    </w:p>
    <w:p>
      <w:pPr>
        <w:pStyle w:val="3"/>
        <w:adjustRightInd w:val="0"/>
        <w:snapToGrid w:val="0"/>
        <w:ind w:firstLine="464"/>
        <w:rPr>
          <w:rFonts w:ascii="Times New Roman" w:hAnsi="宋体"/>
          <w:spacing w:val="-4"/>
          <w:szCs w:val="24"/>
        </w:rPr>
      </w:pPr>
      <w:r>
        <w:rPr>
          <w:rFonts w:hint="eastAsia" w:ascii="Times New Roman" w:hAnsi="宋体"/>
          <w:spacing w:val="-4"/>
          <w:szCs w:val="24"/>
        </w:rPr>
        <w:t>本报价中包括提供免费的汽车上牌服务，销售、售后服务承诺（包括免费质保期承诺等）、随车工具的清单等。</w:t>
      </w:r>
    </w:p>
    <w:p>
      <w:pPr>
        <w:pStyle w:val="3"/>
        <w:adjustRightInd w:val="0"/>
        <w:snapToGrid w:val="0"/>
        <w:ind w:firstLine="480"/>
        <w:rPr>
          <w:rFonts w:hAnsi="宋体"/>
          <w:szCs w:val="24"/>
        </w:rPr>
      </w:pPr>
      <w:r>
        <w:rPr>
          <w:rFonts w:hint="eastAsia" w:hAnsi="宋体"/>
          <w:szCs w:val="24"/>
        </w:rPr>
        <w:t>4.13供货人必须完成所有车辆在当地车辆管理所的牌照上户。供货人应办理有关车辆牌照（购置税、商业保险）等手续，费用由供货人承担。</w:t>
      </w:r>
    </w:p>
    <w:p>
      <w:pPr>
        <w:pStyle w:val="3"/>
        <w:ind w:firstLine="480"/>
        <w:rPr>
          <w:rFonts w:ascii="黑体" w:eastAsia="黑体"/>
          <w:szCs w:val="24"/>
        </w:rPr>
      </w:pPr>
      <w:r>
        <w:rPr>
          <w:rFonts w:hint="eastAsia" w:ascii="黑体" w:eastAsia="黑体"/>
          <w:szCs w:val="24"/>
        </w:rPr>
        <w:t>5.招标人的责任</w:t>
      </w:r>
    </w:p>
    <w:p>
      <w:pPr>
        <w:pStyle w:val="3"/>
        <w:ind w:firstLine="480"/>
        <w:rPr>
          <w:rFonts w:hAnsi="宋体"/>
          <w:szCs w:val="24"/>
        </w:rPr>
      </w:pPr>
      <w:r>
        <w:rPr>
          <w:rFonts w:hint="eastAsia"/>
          <w:szCs w:val="24"/>
        </w:rPr>
        <w:t>5.1招标完成后，与供货人签订合同协议书，严格履行采购人应尽的全部</w:t>
      </w:r>
      <w:r>
        <w:rPr>
          <w:rFonts w:hint="eastAsia" w:hAnsi="宋体"/>
          <w:szCs w:val="24"/>
        </w:rPr>
        <w:t>义务，包括按合同规定支付款额，并为合同的实施和完成提供便利条件。</w:t>
      </w:r>
    </w:p>
    <w:p>
      <w:pPr>
        <w:pStyle w:val="3"/>
        <w:ind w:firstLine="480"/>
        <w:rPr>
          <w:rFonts w:ascii="黑体" w:eastAsia="黑体"/>
          <w:szCs w:val="24"/>
        </w:rPr>
      </w:pPr>
      <w:r>
        <w:rPr>
          <w:rFonts w:hint="eastAsia" w:ascii="黑体" w:eastAsia="黑体"/>
          <w:szCs w:val="24"/>
        </w:rPr>
        <w:t>6.专利权</w:t>
      </w:r>
    </w:p>
    <w:p>
      <w:pPr>
        <w:pStyle w:val="3"/>
        <w:ind w:firstLine="480"/>
        <w:rPr>
          <w:rFonts w:hAnsi="宋体"/>
          <w:szCs w:val="24"/>
        </w:rPr>
      </w:pPr>
      <w:r>
        <w:rPr>
          <w:rFonts w:hint="eastAsia"/>
          <w:szCs w:val="24"/>
        </w:rPr>
        <w:t>6.1</w:t>
      </w:r>
      <w:r>
        <w:rPr>
          <w:rFonts w:hint="eastAsia" w:hAnsi="宋体"/>
          <w:szCs w:val="24"/>
        </w:rPr>
        <w:t>供货人为本项目提供的车辆，应保证没有侵犯其他人的专利权，否则一切与此有关的损害、赔偿、诉讼费、指控费和其他开支均由供货人负责，采购人将保留由此而造成经济损失的索赔权利。</w:t>
      </w:r>
    </w:p>
    <w:p>
      <w:pPr>
        <w:pStyle w:val="3"/>
        <w:ind w:firstLine="480"/>
        <w:rPr>
          <w:rFonts w:ascii="黑体" w:eastAsia="黑体"/>
          <w:szCs w:val="24"/>
        </w:rPr>
      </w:pPr>
      <w:r>
        <w:rPr>
          <w:rFonts w:hint="eastAsia" w:ascii="黑体" w:eastAsia="黑体"/>
          <w:szCs w:val="24"/>
        </w:rPr>
        <w:t>7.车辆验收、包装、标志及质量证明书</w:t>
      </w:r>
    </w:p>
    <w:p>
      <w:pPr>
        <w:pStyle w:val="3"/>
        <w:adjustRightInd w:val="0"/>
        <w:snapToGrid w:val="0"/>
        <w:ind w:firstLine="480"/>
        <w:rPr>
          <w:rFonts w:hAnsi="宋体"/>
          <w:szCs w:val="24"/>
        </w:rPr>
      </w:pPr>
      <w:r>
        <w:rPr>
          <w:rFonts w:hint="eastAsia" w:hAnsi="宋体"/>
          <w:szCs w:val="24"/>
        </w:rPr>
        <w:t>7.1供货人提交的车辆验收、包装、标志及质量证明书应符合国家有关规定和本招标文件的技术规范要求。</w:t>
      </w:r>
    </w:p>
    <w:p>
      <w:pPr>
        <w:pStyle w:val="3"/>
        <w:adjustRightInd w:val="0"/>
        <w:snapToGrid w:val="0"/>
        <w:ind w:firstLine="480"/>
        <w:rPr>
          <w:szCs w:val="24"/>
        </w:rPr>
      </w:pPr>
      <w:r>
        <w:rPr>
          <w:rFonts w:hint="eastAsia" w:hAnsi="宋体"/>
          <w:szCs w:val="24"/>
        </w:rPr>
        <w:t>7.2验收标准：按本标书中的各项指标、规格、性能以及生产厂家提供的正式验收技术文件进行验收。</w:t>
      </w:r>
    </w:p>
    <w:p>
      <w:pPr>
        <w:pStyle w:val="3"/>
        <w:ind w:firstLine="480"/>
        <w:rPr>
          <w:rFonts w:ascii="黑体" w:eastAsia="黑体"/>
          <w:szCs w:val="24"/>
        </w:rPr>
      </w:pPr>
      <w:r>
        <w:rPr>
          <w:rFonts w:hint="eastAsia" w:ascii="黑体" w:eastAsia="黑体"/>
          <w:szCs w:val="24"/>
        </w:rPr>
        <w:t>8.保险</w:t>
      </w:r>
    </w:p>
    <w:p>
      <w:pPr>
        <w:pStyle w:val="3"/>
        <w:ind w:firstLine="480"/>
        <w:rPr>
          <w:rFonts w:hAnsi="宋体"/>
          <w:szCs w:val="24"/>
        </w:rPr>
      </w:pPr>
      <w:r>
        <w:rPr>
          <w:rFonts w:hint="eastAsia"/>
          <w:szCs w:val="24"/>
        </w:rPr>
        <w:t>8.1</w:t>
      </w:r>
      <w:r>
        <w:rPr>
          <w:rFonts w:hint="eastAsia" w:hAnsi="宋体"/>
          <w:szCs w:val="24"/>
        </w:rPr>
        <w:t>供货人应对由于执行合同引起的任何人身伤亡或财产损失及海陆运输进行保险，该保险费用由供货人负责支付，并计入设备单价中。若供货人未按合同要求保险，由此而造成的全部损失应由供货人自行负责。</w:t>
      </w:r>
    </w:p>
    <w:p>
      <w:pPr>
        <w:pStyle w:val="3"/>
        <w:adjustRightInd w:val="0"/>
        <w:ind w:firstLine="480"/>
        <w:rPr>
          <w:rFonts w:hAnsi="宋体"/>
          <w:szCs w:val="24"/>
        </w:rPr>
      </w:pPr>
      <w:r>
        <w:rPr>
          <w:rFonts w:hint="eastAsia" w:hAnsi="宋体"/>
          <w:szCs w:val="24"/>
        </w:rPr>
        <w:t>8.2报价中应包含设备（清单中无需上牌机械、车辆除外）上牌相关费用，包括各项保险、税费、特种车辆检测费等车辆正常上牌的全部费用。</w:t>
      </w:r>
    </w:p>
    <w:p>
      <w:pPr>
        <w:pStyle w:val="3"/>
        <w:ind w:firstLine="480"/>
        <w:rPr>
          <w:rFonts w:ascii="黑体" w:eastAsia="黑体"/>
          <w:szCs w:val="24"/>
        </w:rPr>
      </w:pPr>
      <w:r>
        <w:rPr>
          <w:rFonts w:hint="eastAsia" w:ascii="黑体" w:eastAsia="黑体"/>
          <w:szCs w:val="24"/>
        </w:rPr>
        <w:t>9.支付条件</w:t>
      </w:r>
    </w:p>
    <w:p>
      <w:pPr>
        <w:pStyle w:val="3"/>
        <w:ind w:firstLine="480"/>
        <w:rPr>
          <w:szCs w:val="24"/>
        </w:rPr>
      </w:pPr>
      <w:r>
        <w:rPr>
          <w:rFonts w:hint="eastAsia"/>
          <w:szCs w:val="24"/>
        </w:rPr>
        <w:t>9.1付款方式：投标人中标后与招标人签订合同协议书，由招标人直接支付供货人设备款。</w:t>
      </w:r>
    </w:p>
    <w:p>
      <w:pPr>
        <w:pStyle w:val="3"/>
        <w:ind w:firstLine="480"/>
        <w:rPr>
          <w:szCs w:val="24"/>
        </w:rPr>
      </w:pPr>
      <w:r>
        <w:rPr>
          <w:rFonts w:hint="eastAsia"/>
          <w:szCs w:val="24"/>
        </w:rPr>
        <w:t>9.2付款条件</w:t>
      </w:r>
    </w:p>
    <w:p>
      <w:pPr>
        <w:pStyle w:val="3"/>
        <w:ind w:firstLine="480"/>
        <w:rPr>
          <w:szCs w:val="24"/>
        </w:rPr>
      </w:pPr>
      <w:r>
        <w:rPr>
          <w:rFonts w:hint="eastAsia"/>
          <w:szCs w:val="24"/>
        </w:rPr>
        <w:t>（1）合同签订前投标人应向招标人提交5万元人民币金额的履约保证金，如果招标人单方面违约将向投标人支付购车款的10%作为违约金。</w:t>
      </w:r>
    </w:p>
    <w:p>
      <w:pPr>
        <w:pStyle w:val="3"/>
        <w:ind w:firstLine="600" w:firstLineChars="250"/>
        <w:rPr>
          <w:szCs w:val="24"/>
        </w:rPr>
      </w:pPr>
      <w:r>
        <w:rPr>
          <w:rFonts w:hint="eastAsia"/>
          <w:szCs w:val="24"/>
        </w:rPr>
        <w:t>(2)中标人所提供的车辆公里数指数必须在100公里以内，如果超出招标人有权退还车辆，产生的手续费也由中标人承担。</w:t>
      </w:r>
    </w:p>
    <w:p>
      <w:pPr>
        <w:pStyle w:val="3"/>
        <w:ind w:firstLine="480"/>
        <w:rPr>
          <w:szCs w:val="24"/>
        </w:rPr>
      </w:pPr>
      <w:r>
        <w:rPr>
          <w:rFonts w:hint="eastAsia"/>
          <w:szCs w:val="24"/>
        </w:rPr>
        <w:t>（3）车辆运抵采购人指定交货现场、经调试、检测、验收合格、合格，车辆设备在车管所上牌及供货人所提供的单据（合同价格100%的商业发票和各种税费单据齐全,提供制造商出具的质量证书）确认无误后提档当日支付所购车辆剩余合同金额的100%。</w:t>
      </w:r>
    </w:p>
    <w:p>
      <w:pPr>
        <w:pStyle w:val="3"/>
        <w:ind w:firstLine="480"/>
        <w:rPr>
          <w:szCs w:val="24"/>
        </w:rPr>
      </w:pPr>
      <w:r>
        <w:rPr>
          <w:rFonts w:hint="eastAsia"/>
          <w:szCs w:val="24"/>
        </w:rPr>
        <w:t>9.3支付地点</w:t>
      </w:r>
    </w:p>
    <w:p>
      <w:pPr>
        <w:pStyle w:val="3"/>
        <w:ind w:firstLine="480"/>
        <w:rPr>
          <w:rFonts w:hAnsi="宋体"/>
          <w:szCs w:val="24"/>
        </w:rPr>
      </w:pPr>
      <w:r>
        <w:rPr>
          <w:rFonts w:hint="eastAsia"/>
          <w:szCs w:val="24"/>
        </w:rPr>
        <w:t>经采购人同意后</w:t>
      </w:r>
      <w:r>
        <w:rPr>
          <w:rFonts w:hint="eastAsia" w:hAnsi="宋体"/>
          <w:szCs w:val="24"/>
        </w:rPr>
        <w:t>，向供货人的支付应按合同规定货币支付到合同协议书中指定供货人的银行帐户中。</w:t>
      </w:r>
    </w:p>
    <w:p>
      <w:pPr>
        <w:pStyle w:val="3"/>
        <w:ind w:firstLine="480"/>
        <w:rPr>
          <w:rFonts w:hAnsi="宋体"/>
          <w:szCs w:val="24"/>
        </w:rPr>
      </w:pPr>
      <w:r>
        <w:rPr>
          <w:rFonts w:hint="eastAsia" w:hAnsi="宋体"/>
          <w:szCs w:val="24"/>
        </w:rPr>
        <w:t>9.4付款方式采用：经招标人直接支付供货人设备款。</w:t>
      </w:r>
    </w:p>
    <w:p>
      <w:pPr>
        <w:pStyle w:val="3"/>
        <w:ind w:firstLine="480"/>
        <w:rPr>
          <w:rFonts w:ascii="黑体" w:eastAsia="黑体"/>
          <w:szCs w:val="24"/>
        </w:rPr>
      </w:pPr>
      <w:r>
        <w:rPr>
          <w:rFonts w:hint="eastAsia" w:ascii="黑体" w:eastAsia="黑体"/>
          <w:szCs w:val="24"/>
        </w:rPr>
        <w:t>10.税金及履约保证金</w:t>
      </w:r>
    </w:p>
    <w:p>
      <w:pPr>
        <w:pStyle w:val="3"/>
        <w:ind w:firstLine="480"/>
        <w:rPr>
          <w:szCs w:val="24"/>
        </w:rPr>
      </w:pPr>
      <w:r>
        <w:rPr>
          <w:rFonts w:hint="eastAsia"/>
          <w:szCs w:val="24"/>
        </w:rPr>
        <w:t>供货人对所提供的车辆应按我国法律和规定交纳各种税金。</w:t>
      </w:r>
    </w:p>
    <w:p>
      <w:pPr>
        <w:pStyle w:val="3"/>
        <w:ind w:firstLine="480"/>
        <w:rPr>
          <w:szCs w:val="24"/>
        </w:rPr>
      </w:pPr>
      <w:r>
        <w:rPr>
          <w:rFonts w:hint="eastAsia"/>
          <w:szCs w:val="24"/>
        </w:rPr>
        <w:t>履约保证金的形式：银行保函或现金担保；</w:t>
      </w:r>
    </w:p>
    <w:p>
      <w:pPr>
        <w:pStyle w:val="3"/>
        <w:ind w:firstLine="480"/>
        <w:rPr>
          <w:szCs w:val="24"/>
        </w:rPr>
      </w:pPr>
      <w:r>
        <w:rPr>
          <w:rFonts w:hint="eastAsia"/>
          <w:szCs w:val="24"/>
        </w:rPr>
        <w:t>履约保证金的金额：现金人民币5万元。</w:t>
      </w:r>
    </w:p>
    <w:p>
      <w:pPr>
        <w:pStyle w:val="3"/>
        <w:ind w:firstLine="480"/>
        <w:rPr>
          <w:szCs w:val="24"/>
        </w:rPr>
      </w:pPr>
      <w:r>
        <w:rPr>
          <w:rFonts w:hint="eastAsia"/>
          <w:szCs w:val="24"/>
        </w:rPr>
        <w:t>提交履约保证金时间：应在中标通知书发出后30日内，并在签订合同协议书之前；</w:t>
      </w:r>
    </w:p>
    <w:p>
      <w:pPr>
        <w:pStyle w:val="3"/>
        <w:ind w:firstLine="480"/>
        <w:rPr>
          <w:szCs w:val="24"/>
        </w:rPr>
      </w:pPr>
      <w:r>
        <w:rPr>
          <w:rFonts w:hint="eastAsia"/>
          <w:szCs w:val="24"/>
        </w:rPr>
        <w:t>履约保证金退还：合同履行完后30日内。</w:t>
      </w:r>
    </w:p>
    <w:p>
      <w:pPr>
        <w:pStyle w:val="3"/>
        <w:ind w:firstLine="480"/>
        <w:rPr>
          <w:rFonts w:ascii="黑体" w:eastAsia="黑体"/>
          <w:szCs w:val="24"/>
        </w:rPr>
      </w:pPr>
      <w:r>
        <w:rPr>
          <w:rFonts w:hint="eastAsia" w:ascii="黑体" w:eastAsia="黑体"/>
          <w:szCs w:val="24"/>
        </w:rPr>
        <w:t>11. 合同执行期间的价格调整</w:t>
      </w:r>
    </w:p>
    <w:p>
      <w:pPr>
        <w:pStyle w:val="3"/>
        <w:ind w:firstLine="480"/>
        <w:rPr>
          <w:szCs w:val="24"/>
        </w:rPr>
      </w:pPr>
      <w:r>
        <w:rPr>
          <w:rFonts w:hint="eastAsia"/>
          <w:szCs w:val="24"/>
        </w:rPr>
        <w:t>本项目在合同执行期间不调价。</w:t>
      </w:r>
    </w:p>
    <w:p>
      <w:pPr>
        <w:pStyle w:val="3"/>
        <w:ind w:firstLine="480"/>
        <w:rPr>
          <w:rFonts w:ascii="黑体" w:eastAsia="黑体"/>
          <w:szCs w:val="24"/>
        </w:rPr>
      </w:pPr>
    </w:p>
    <w:p>
      <w:pPr>
        <w:pStyle w:val="3"/>
        <w:ind w:firstLine="480"/>
        <w:rPr>
          <w:rFonts w:ascii="黑体" w:eastAsia="黑体"/>
          <w:szCs w:val="24"/>
        </w:rPr>
      </w:pPr>
      <w:r>
        <w:rPr>
          <w:rFonts w:hint="eastAsia" w:ascii="黑体" w:eastAsia="黑体"/>
          <w:szCs w:val="24"/>
        </w:rPr>
        <w:t>12.供货人的违约</w:t>
      </w:r>
    </w:p>
    <w:p>
      <w:pPr>
        <w:pStyle w:val="3"/>
        <w:adjustRightInd w:val="0"/>
        <w:snapToGrid w:val="0"/>
        <w:ind w:firstLine="480"/>
        <w:rPr>
          <w:rFonts w:hAnsi="宋体"/>
          <w:szCs w:val="24"/>
        </w:rPr>
      </w:pPr>
      <w:r>
        <w:rPr>
          <w:rFonts w:hint="eastAsia" w:hAnsi="宋体"/>
          <w:szCs w:val="24"/>
        </w:rPr>
        <w:t>供货人应按与招标人签订的合同协议书组织车辆供应，如超过供货计划14天仍未能供货，应视为供货人违约。招标人有权终止合同并没收履约担保金。</w:t>
      </w:r>
    </w:p>
    <w:p>
      <w:pPr>
        <w:pStyle w:val="3"/>
        <w:ind w:firstLine="480"/>
        <w:rPr>
          <w:rFonts w:ascii="黑体" w:eastAsia="黑体"/>
          <w:szCs w:val="24"/>
        </w:rPr>
      </w:pPr>
      <w:r>
        <w:rPr>
          <w:rFonts w:hint="eastAsia" w:ascii="黑体" w:eastAsia="黑体"/>
          <w:szCs w:val="24"/>
        </w:rPr>
        <w:t xml:space="preserve">13. 争端的解决方式  </w:t>
      </w:r>
    </w:p>
    <w:p>
      <w:pPr>
        <w:pStyle w:val="3"/>
        <w:adjustRightInd w:val="0"/>
        <w:snapToGrid w:val="0"/>
        <w:ind w:firstLine="480"/>
        <w:rPr>
          <w:rFonts w:hAnsi="宋体"/>
          <w:szCs w:val="24"/>
        </w:rPr>
      </w:pPr>
      <w:r>
        <w:rPr>
          <w:rFonts w:hint="eastAsia" w:hAnsi="宋体"/>
          <w:szCs w:val="24"/>
        </w:rPr>
        <w:t>无论在否定和终止本合同之前或之后，如果招标人与供货人之间关于合同的任何争端，首先应设法对争议进行友好调解。</w:t>
      </w:r>
    </w:p>
    <w:p>
      <w:pPr>
        <w:pStyle w:val="3"/>
        <w:adjustRightInd w:val="0"/>
        <w:snapToGrid w:val="0"/>
        <w:ind w:firstLine="480"/>
        <w:rPr>
          <w:rFonts w:hAnsi="宋体"/>
          <w:szCs w:val="24"/>
        </w:rPr>
      </w:pPr>
      <w:r>
        <w:rPr>
          <w:rFonts w:hint="eastAsia" w:hAnsi="宋体"/>
          <w:szCs w:val="24"/>
        </w:rPr>
        <w:t>若经过协商或调解仍不能达成一致时，此争执采用诉讼方式解决，诉讼机构为项目招标人注册所在地人民法院。</w:t>
      </w:r>
    </w:p>
    <w:p>
      <w:pPr>
        <w:pStyle w:val="3"/>
        <w:ind w:firstLine="480"/>
        <w:rPr>
          <w:rFonts w:ascii="黑体" w:eastAsia="黑体"/>
          <w:szCs w:val="24"/>
        </w:rPr>
      </w:pPr>
      <w:r>
        <w:rPr>
          <w:rFonts w:hint="eastAsia" w:ascii="黑体" w:eastAsia="黑体"/>
          <w:szCs w:val="24"/>
        </w:rPr>
        <w:t>14..合同的生效、终止与变更</w:t>
      </w:r>
    </w:p>
    <w:p>
      <w:pPr>
        <w:pStyle w:val="3"/>
        <w:adjustRightInd w:val="0"/>
        <w:snapToGrid w:val="0"/>
        <w:ind w:firstLine="480"/>
        <w:rPr>
          <w:rFonts w:hAnsi="宋体"/>
          <w:szCs w:val="24"/>
        </w:rPr>
      </w:pPr>
      <w:r>
        <w:rPr>
          <w:rFonts w:hint="eastAsia" w:hAnsi="宋体"/>
          <w:szCs w:val="24"/>
        </w:rPr>
        <w:t>14.1本合同的生效时间，以招标人与供货人签署的合同协议书上注明的时间为准。</w:t>
      </w:r>
    </w:p>
    <w:p>
      <w:pPr>
        <w:pStyle w:val="3"/>
        <w:adjustRightInd w:val="0"/>
        <w:snapToGrid w:val="0"/>
        <w:ind w:firstLine="480"/>
        <w:rPr>
          <w:rFonts w:hAnsi="宋体"/>
          <w:szCs w:val="24"/>
        </w:rPr>
      </w:pPr>
      <w:r>
        <w:rPr>
          <w:rFonts w:hint="eastAsia" w:hAnsi="宋体"/>
          <w:szCs w:val="24"/>
        </w:rPr>
        <w:t>14.2本合同的终止时间，为质量保证期满后。合同失效后，招标人与供货人均不再受本合同的约束。</w:t>
      </w:r>
    </w:p>
    <w:p>
      <w:pPr>
        <w:pStyle w:val="3"/>
        <w:ind w:firstLine="480"/>
        <w:rPr>
          <w:rFonts w:ascii="黑体" w:eastAsia="黑体"/>
          <w:szCs w:val="24"/>
        </w:rPr>
      </w:pPr>
      <w:r>
        <w:rPr>
          <w:rFonts w:hint="eastAsia" w:ascii="黑体" w:eastAsia="黑体"/>
          <w:szCs w:val="24"/>
        </w:rPr>
        <w:t>15. 转让和分包</w:t>
      </w:r>
    </w:p>
    <w:p>
      <w:pPr>
        <w:pStyle w:val="3"/>
        <w:adjustRightInd w:val="0"/>
        <w:snapToGrid w:val="0"/>
        <w:ind w:firstLine="480"/>
        <w:rPr>
          <w:rFonts w:hAnsi="宋体"/>
          <w:szCs w:val="24"/>
        </w:rPr>
      </w:pPr>
      <w:r>
        <w:rPr>
          <w:rFonts w:hint="eastAsia" w:hAnsi="宋体"/>
          <w:szCs w:val="24"/>
        </w:rPr>
        <w:t xml:space="preserve"> 本合同不允许转包或违法分包。</w:t>
      </w:r>
    </w:p>
    <w:p>
      <w:pPr>
        <w:pStyle w:val="3"/>
        <w:ind w:firstLine="480"/>
        <w:rPr>
          <w:rFonts w:ascii="黑体" w:eastAsia="黑体"/>
          <w:szCs w:val="24"/>
        </w:rPr>
      </w:pPr>
      <w:r>
        <w:rPr>
          <w:rFonts w:hint="eastAsia" w:ascii="黑体" w:eastAsia="黑体"/>
          <w:szCs w:val="24"/>
        </w:rPr>
        <w:t>16.适用法律</w:t>
      </w:r>
    </w:p>
    <w:p>
      <w:pPr>
        <w:pStyle w:val="3"/>
        <w:adjustRightInd w:val="0"/>
        <w:snapToGrid w:val="0"/>
        <w:ind w:firstLine="480"/>
        <w:rPr>
          <w:rFonts w:hAnsi="宋体"/>
          <w:szCs w:val="24"/>
        </w:rPr>
      </w:pPr>
      <w:r>
        <w:rPr>
          <w:rFonts w:hint="eastAsia" w:hAnsi="宋体"/>
          <w:szCs w:val="24"/>
        </w:rPr>
        <w:t>16.1约束本合同的法律是中华人民共和国的现行法律，合同应据此解释。</w:t>
      </w:r>
    </w:p>
    <w:p>
      <w:pPr>
        <w:pStyle w:val="3"/>
        <w:adjustRightInd w:val="0"/>
        <w:snapToGrid w:val="0"/>
        <w:ind w:firstLine="480"/>
        <w:rPr>
          <w:rFonts w:ascii="黑体" w:eastAsia="黑体"/>
          <w:szCs w:val="24"/>
        </w:rPr>
      </w:pPr>
      <w:r>
        <w:rPr>
          <w:rFonts w:hint="eastAsia" w:ascii="黑体" w:eastAsia="黑体"/>
          <w:szCs w:val="24"/>
        </w:rPr>
        <w:t>17.行贿和受贿</w:t>
      </w:r>
    </w:p>
    <w:p>
      <w:pPr>
        <w:pStyle w:val="3"/>
        <w:adjustRightInd w:val="0"/>
        <w:snapToGrid w:val="0"/>
        <w:ind w:firstLine="480"/>
        <w:rPr>
          <w:rFonts w:hAnsi="宋体"/>
          <w:szCs w:val="24"/>
        </w:rPr>
      </w:pPr>
      <w:r>
        <w:rPr>
          <w:rFonts w:hint="eastAsia" w:hAnsi="宋体"/>
          <w:szCs w:val="24"/>
        </w:rPr>
        <w:t>在合同执行过程中，供货人如果用行贿、送礼或其他不正当手段企图影响或已经影响招标人行为或欲获得超出合同规定以外的额外费用，因供货人的上述行为造成的经济损失等，供货人应负一切责任，并予赔偿。情节严重者，采购人有权终止本供货合同，并追究其法律责任。</w:t>
      </w:r>
    </w:p>
    <w:p>
      <w:pPr>
        <w:pStyle w:val="3"/>
        <w:adjustRightInd w:val="0"/>
        <w:snapToGrid w:val="0"/>
        <w:ind w:firstLine="480"/>
        <w:rPr>
          <w:rFonts w:ascii="黑体" w:eastAsia="黑体"/>
          <w:szCs w:val="24"/>
        </w:rPr>
      </w:pPr>
      <w:r>
        <w:rPr>
          <w:rFonts w:hint="eastAsia" w:ascii="黑体" w:eastAsia="黑体"/>
          <w:szCs w:val="24"/>
        </w:rPr>
        <w:t>18.其它</w:t>
      </w:r>
    </w:p>
    <w:p>
      <w:pPr>
        <w:pStyle w:val="3"/>
        <w:adjustRightInd w:val="0"/>
        <w:snapToGrid w:val="0"/>
        <w:ind w:firstLine="480"/>
        <w:rPr>
          <w:rFonts w:hAnsi="宋体"/>
          <w:szCs w:val="24"/>
        </w:rPr>
      </w:pPr>
      <w:r>
        <w:rPr>
          <w:rFonts w:hint="eastAsia" w:hAnsi="宋体"/>
          <w:szCs w:val="24"/>
        </w:rPr>
        <w:t>供货人应按合同约定履行安全职责，严格执行国家、地方政府有关安全管理方面的法律、法规及规章制度，同时严格执行采购人制订的本项目安全生产管理方面的规章制度、安全检查程序及安全管理要求。</w:t>
      </w:r>
    </w:p>
    <w:p>
      <w:pPr>
        <w:pStyle w:val="3"/>
        <w:adjustRightInd w:val="0"/>
        <w:snapToGrid w:val="0"/>
        <w:ind w:firstLine="480"/>
        <w:rPr>
          <w:rFonts w:hAnsi="宋体"/>
          <w:szCs w:val="24"/>
        </w:rPr>
      </w:pPr>
      <w:r>
        <w:rPr>
          <w:rFonts w:hint="eastAsia" w:hAnsi="宋体" w:cs="Arial"/>
          <w:szCs w:val="24"/>
        </w:rPr>
        <w:t>供货人在供货过程中应做到文明供货，严禁破坏及污染正常运营的原有道路及道路设施。</w:t>
      </w:r>
      <w:r>
        <w:rPr>
          <w:rFonts w:hint="eastAsia" w:hAnsi="宋体"/>
          <w:szCs w:val="24"/>
        </w:rPr>
        <w:t>如果因供货人的自身原因导致安全、文明方面责任，由其全部承担。</w:t>
      </w:r>
    </w:p>
    <w:p>
      <w:pPr>
        <w:pStyle w:val="3"/>
        <w:adjustRightInd w:val="0"/>
        <w:snapToGrid w:val="0"/>
        <w:ind w:firstLine="480"/>
        <w:rPr>
          <w:rFonts w:hAnsi="宋体"/>
          <w:szCs w:val="24"/>
        </w:rPr>
      </w:pPr>
      <w:r>
        <w:rPr>
          <w:rFonts w:hint="eastAsia" w:hAnsi="宋体"/>
          <w:szCs w:val="24"/>
        </w:rPr>
        <w:t>1</w:t>
      </w:r>
      <w:r>
        <w:rPr>
          <w:rFonts w:hint="eastAsia" w:ascii="黑体" w:eastAsia="黑体"/>
          <w:szCs w:val="24"/>
        </w:rPr>
        <w:t>9.公路通行费</w:t>
      </w:r>
    </w:p>
    <w:p>
      <w:pPr>
        <w:pStyle w:val="3"/>
        <w:adjustRightInd w:val="0"/>
        <w:snapToGrid w:val="0"/>
        <w:ind w:firstLine="477" w:firstLineChars="199"/>
        <w:rPr>
          <w:rFonts w:hAnsi="宋体"/>
          <w:szCs w:val="24"/>
        </w:rPr>
      </w:pPr>
      <w:r>
        <w:rPr>
          <w:rFonts w:hint="eastAsia" w:hAnsi="宋体"/>
          <w:szCs w:val="24"/>
        </w:rPr>
        <w:t>为运送本合同拟供设备运输经过相关收费公路的通行费用，均由供货人自行按章缴纳，并在报价时分摊入设备报价清单的相关细目中，不单独报价。</w:t>
      </w:r>
    </w:p>
    <w:p>
      <w:pPr>
        <w:pStyle w:val="3"/>
        <w:adjustRightInd w:val="0"/>
        <w:snapToGrid w:val="0"/>
        <w:ind w:firstLine="477" w:firstLineChars="199"/>
        <w:rPr>
          <w:szCs w:val="24"/>
        </w:rPr>
      </w:pPr>
      <w:r>
        <w:rPr>
          <w:rFonts w:hint="eastAsia" w:hAnsi="宋体"/>
          <w:szCs w:val="24"/>
        </w:rPr>
        <w:t>供货人在供货过程中所使用的运输车辆，要求车况良好，禁止将不允许上高速公路的车辆作为设备运输车辆。</w:t>
      </w:r>
    </w:p>
    <w:p>
      <w:pPr>
        <w:pStyle w:val="5"/>
        <w:ind w:firstLine="562"/>
        <w:rPr>
          <w:rFonts w:ascii="Times New Roman" w:hAnsi="Times New Roman"/>
        </w:rPr>
      </w:pPr>
      <w:r>
        <w:rPr>
          <w:rFonts w:ascii="Times New Roman" w:hAnsi="Times New Roman"/>
        </w:rPr>
        <w:br w:type="page"/>
      </w:r>
      <w:bookmarkStart w:id="353" w:name="_Toc369531676"/>
      <w:bookmarkEnd w:id="353"/>
      <w:bookmarkStart w:id="354" w:name="_Toc246997062"/>
      <w:bookmarkEnd w:id="354"/>
      <w:bookmarkStart w:id="355" w:name="_Toc246996319"/>
      <w:bookmarkEnd w:id="355"/>
      <w:bookmarkStart w:id="356" w:name="_Toc9766"/>
      <w:bookmarkEnd w:id="356"/>
      <w:bookmarkStart w:id="357" w:name="_Toc247085834"/>
      <w:bookmarkEnd w:id="357"/>
      <w:bookmarkStart w:id="358" w:name="_Toc296602565"/>
      <w:bookmarkEnd w:id="358"/>
      <w:bookmarkStart w:id="359" w:name="_Toc369531675"/>
      <w:bookmarkEnd w:id="359"/>
      <w:bookmarkStart w:id="360" w:name="_Toc29298"/>
      <w:bookmarkEnd w:id="360"/>
      <w:bookmarkStart w:id="361" w:name="_Toc184635117"/>
      <w:bookmarkEnd w:id="361"/>
      <w:bookmarkStart w:id="362" w:name="_Toc179632785"/>
      <w:bookmarkStart w:id="363" w:name="_Toc152045767"/>
      <w:bookmarkStart w:id="364" w:name="_Toc152042546"/>
      <w:bookmarkStart w:id="365" w:name="_Toc144974826"/>
      <w:bookmarkStart w:id="366" w:name="_Toc247514197"/>
      <w:bookmarkStart w:id="367" w:name="_Toc247527798"/>
      <w:bookmarkStart w:id="368" w:name="_Toc152045610"/>
      <w:bookmarkStart w:id="369" w:name="_Toc300835199"/>
      <w:bookmarkStart w:id="370" w:name="_Toc152042388"/>
      <w:bookmarkStart w:id="371" w:name="_Toc184635122"/>
      <w:bookmarkStart w:id="372" w:name="_Toc144974578"/>
    </w:p>
    <w:p>
      <w:pPr>
        <w:pStyle w:val="5"/>
        <w:ind w:firstLine="562"/>
        <w:rPr>
          <w:rFonts w:ascii="Times New Roman" w:hAnsi="Times New Roman"/>
        </w:rPr>
      </w:pPr>
      <w:bookmarkStart w:id="373" w:name="_Toc14414"/>
      <w:r>
        <w:rPr>
          <w:rFonts w:ascii="Times New Roman" w:hAnsi="Times New Roman"/>
        </w:rPr>
        <w:t>第</w:t>
      </w:r>
      <w:r>
        <w:rPr>
          <w:rFonts w:hint="eastAsia" w:ascii="Times New Roman" w:hAnsi="Times New Roman"/>
        </w:rPr>
        <w:t>二</w:t>
      </w:r>
      <w:r>
        <w:rPr>
          <w:rFonts w:ascii="Times New Roman" w:hAnsi="Times New Roman"/>
        </w:rPr>
        <w:t>节</w:t>
      </w:r>
      <w:r>
        <w:rPr>
          <w:rFonts w:hint="eastAsia" w:ascii="Times New Roman" w:hAnsi="Times New Roman"/>
        </w:rPr>
        <w:t xml:space="preserve"> </w:t>
      </w:r>
      <w:r>
        <w:rPr>
          <w:rFonts w:ascii="Times New Roman" w:hAnsi="Times New Roman"/>
        </w:rPr>
        <w:t>合同附件格式</w:t>
      </w:r>
      <w:bookmarkEnd w:id="373"/>
    </w:p>
    <w:p>
      <w:pPr>
        <w:pStyle w:val="6"/>
        <w:ind w:firstLine="137"/>
        <w:rPr>
          <w:rFonts w:ascii="Times New Roman" w:hAnsi="Times New Roman"/>
        </w:rPr>
      </w:pPr>
      <w:r>
        <w:rPr>
          <w:rFonts w:ascii="Times New Roman" w:hAnsi="Times New Roman"/>
        </w:rPr>
        <w:br w:type="page"/>
      </w:r>
      <w:bookmarkStart w:id="374" w:name="_Toc11993"/>
      <w:r>
        <w:rPr>
          <w:rFonts w:ascii="Times New Roman" w:hAnsi="Times New Roman"/>
        </w:rPr>
        <w:t>附件一：合同协议书</w:t>
      </w:r>
      <w:bookmarkEnd w:id="374"/>
    </w:p>
    <w:p>
      <w:pPr>
        <w:spacing w:line="440" w:lineRule="exact"/>
        <w:ind w:firstLine="560"/>
        <w:jc w:val="center"/>
        <w:rPr>
          <w:rFonts w:ascii="Times New Roman" w:hAnsi="Times New Roman" w:eastAsia="黑体"/>
          <w:sz w:val="28"/>
        </w:rPr>
      </w:pPr>
      <w:r>
        <w:rPr>
          <w:rFonts w:ascii="Times New Roman" w:hAnsi="Times New Roman" w:eastAsia="黑体"/>
          <w:sz w:val="28"/>
        </w:rPr>
        <w:t>合同协议书</w:t>
      </w:r>
    </w:p>
    <w:p>
      <w:pPr>
        <w:spacing w:line="440" w:lineRule="exact"/>
        <w:ind w:firstLine="480"/>
        <w:rPr>
          <w:rFonts w:ascii="Times New Roman" w:hAnsi="Times New Roman"/>
        </w:rPr>
      </w:pPr>
    </w:p>
    <w:p>
      <w:pPr>
        <w:spacing w:line="440" w:lineRule="exact"/>
        <w:ind w:firstLine="410" w:firstLineChars="171"/>
        <w:rPr>
          <w:rFonts w:ascii="Times New Roman" w:hAnsi="Times New Roman"/>
          <w:szCs w:val="21"/>
        </w:rPr>
      </w:pPr>
      <w:r>
        <w:rPr>
          <w:rFonts w:ascii="Times New Roman" w:hAnsi="Times New Roman"/>
          <w:szCs w:val="21"/>
          <w:u w:val="single"/>
        </w:rPr>
        <w:t xml:space="preserve">                   </w:t>
      </w:r>
      <w:r>
        <w:rPr>
          <w:rFonts w:ascii="Times New Roman" w:hAnsi="Times New Roman"/>
          <w:szCs w:val="21"/>
        </w:rPr>
        <w:t>（买方名称，以下简称“买方”）为获得</w:t>
      </w:r>
      <w:r>
        <w:rPr>
          <w:rFonts w:ascii="Times New Roman" w:hAnsi="Times New Roman"/>
          <w:szCs w:val="21"/>
          <w:u w:val="single"/>
        </w:rPr>
        <w:t xml:space="preserve">            </w:t>
      </w:r>
      <w:r>
        <w:rPr>
          <w:rFonts w:ascii="Times New Roman" w:hAnsi="Times New Roman"/>
          <w:szCs w:val="21"/>
        </w:rPr>
        <w:t>，已接受</w:t>
      </w:r>
      <w:r>
        <w:rPr>
          <w:rFonts w:ascii="Times New Roman" w:hAnsi="Times New Roman"/>
          <w:szCs w:val="21"/>
          <w:u w:val="single"/>
        </w:rPr>
        <w:t xml:space="preserve">                    </w:t>
      </w:r>
      <w:r>
        <w:rPr>
          <w:rFonts w:ascii="Times New Roman" w:hAnsi="Times New Roman"/>
          <w:szCs w:val="21"/>
        </w:rPr>
        <w:t>（卖方名称，以下简称“卖方”）为提供上述合同设备和技术服务和质保期服务所作的投标，买方和卖方共同达成如下协议：</w:t>
      </w:r>
    </w:p>
    <w:p>
      <w:pPr>
        <w:spacing w:line="440" w:lineRule="exact"/>
        <w:ind w:firstLine="480"/>
        <w:rPr>
          <w:rFonts w:ascii="Times New Roman" w:hAnsi="Times New Roman"/>
          <w:szCs w:val="21"/>
        </w:rPr>
      </w:pPr>
      <w:r>
        <w:rPr>
          <w:rFonts w:ascii="Times New Roman" w:hAnsi="Times New Roman"/>
          <w:szCs w:val="21"/>
        </w:rPr>
        <w:t>1. 本协议书与下列文件一起构成合同文件：</w:t>
      </w:r>
    </w:p>
    <w:p>
      <w:pPr>
        <w:spacing w:line="440" w:lineRule="exact"/>
        <w:ind w:firstLine="480"/>
        <w:rPr>
          <w:rFonts w:ascii="Times New Roman" w:hAnsi="Times New Roman"/>
          <w:szCs w:val="21"/>
        </w:rPr>
      </w:pPr>
      <w:r>
        <w:rPr>
          <w:rFonts w:ascii="Times New Roman" w:hAnsi="Times New Roman"/>
          <w:szCs w:val="21"/>
        </w:rPr>
        <w:t>（1）中标通知书；</w:t>
      </w:r>
    </w:p>
    <w:p>
      <w:pPr>
        <w:spacing w:line="440" w:lineRule="exact"/>
        <w:ind w:firstLine="480"/>
        <w:rPr>
          <w:rFonts w:ascii="Times New Roman" w:hAnsi="Times New Roman"/>
          <w:szCs w:val="21"/>
        </w:rPr>
      </w:pPr>
      <w:r>
        <w:rPr>
          <w:rFonts w:ascii="Times New Roman" w:hAnsi="Times New Roman"/>
          <w:szCs w:val="21"/>
        </w:rPr>
        <w:t>（2）投标函；</w:t>
      </w:r>
    </w:p>
    <w:p>
      <w:pPr>
        <w:spacing w:line="440" w:lineRule="exact"/>
        <w:ind w:firstLine="480"/>
        <w:rPr>
          <w:rFonts w:ascii="Times New Roman" w:hAnsi="Times New Roman"/>
          <w:szCs w:val="21"/>
        </w:rPr>
      </w:pPr>
      <w:r>
        <w:rPr>
          <w:rFonts w:ascii="Times New Roman" w:hAnsi="Times New Roman"/>
          <w:szCs w:val="21"/>
        </w:rPr>
        <w:t>（</w:t>
      </w: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w:t>
      </w:r>
      <w:r>
        <w:rPr>
          <w:rFonts w:ascii="Times New Roman" w:hAnsi="Times New Roman"/>
          <w:szCs w:val="21"/>
        </w:rPr>
        <w:t>其他合同文件。</w:t>
      </w:r>
    </w:p>
    <w:p>
      <w:pPr>
        <w:spacing w:line="440" w:lineRule="exact"/>
        <w:ind w:firstLine="480"/>
        <w:rPr>
          <w:rFonts w:ascii="Times New Roman" w:hAnsi="Times New Roman"/>
          <w:szCs w:val="21"/>
        </w:rPr>
      </w:pPr>
      <w:r>
        <w:rPr>
          <w:rFonts w:ascii="Times New Roman" w:hAnsi="Times New Roman"/>
          <w:szCs w:val="21"/>
        </w:rPr>
        <w:t>2. 上述合同文件互相补充和解释。如果合同文件之间存在矛盾或不一致之处，以上述文件的排列顺序在先者为准。</w:t>
      </w:r>
    </w:p>
    <w:p>
      <w:pPr>
        <w:spacing w:line="440" w:lineRule="exact"/>
        <w:ind w:firstLine="480"/>
        <w:rPr>
          <w:rFonts w:ascii="Times New Roman" w:hAnsi="Times New Roman"/>
          <w:szCs w:val="21"/>
        </w:rPr>
      </w:pPr>
      <w:r>
        <w:rPr>
          <w:rFonts w:ascii="Times New Roman" w:hAnsi="Times New Roman"/>
          <w:szCs w:val="21"/>
        </w:rPr>
        <w:t>3. 签约合同价：人民币（大写）</w:t>
      </w:r>
      <w:r>
        <w:rPr>
          <w:rFonts w:ascii="Times New Roman" w:hAnsi="Times New Roman"/>
          <w:u w:val="single"/>
        </w:rPr>
        <w:t xml:space="preserve">              </w:t>
      </w:r>
      <w:r>
        <w:rPr>
          <w:rFonts w:ascii="Times New Roman" w:hAnsi="Times New Roman"/>
          <w:szCs w:val="21"/>
        </w:rPr>
        <w:t>（¥</w:t>
      </w:r>
      <w:r>
        <w:rPr>
          <w:rFonts w:ascii="Times New Roman" w:hAnsi="Times New Roman"/>
          <w:u w:val="single"/>
        </w:rPr>
        <w:t xml:space="preserve">              </w:t>
      </w:r>
      <w:r>
        <w:rPr>
          <w:rFonts w:ascii="Times New Roman" w:hAnsi="Times New Roman"/>
          <w:szCs w:val="21"/>
        </w:rPr>
        <w:t>）。</w:t>
      </w:r>
    </w:p>
    <w:p>
      <w:pPr>
        <w:spacing w:line="440" w:lineRule="exact"/>
        <w:ind w:firstLine="480"/>
        <w:rPr>
          <w:rFonts w:ascii="Times New Roman" w:hAnsi="Times New Roman"/>
          <w:szCs w:val="21"/>
        </w:rPr>
      </w:pPr>
      <w:r>
        <w:rPr>
          <w:rFonts w:ascii="Times New Roman" w:hAnsi="Times New Roman"/>
          <w:szCs w:val="21"/>
        </w:rPr>
        <w:t>4. 卖方承诺保证完全按照合同约定提供合同设备和技术服务和质保期服务并修补缺陷。</w:t>
      </w:r>
    </w:p>
    <w:p>
      <w:pPr>
        <w:spacing w:line="440" w:lineRule="exact"/>
        <w:ind w:firstLine="480"/>
        <w:rPr>
          <w:rFonts w:ascii="Times New Roman" w:hAnsi="Times New Roman"/>
          <w:szCs w:val="21"/>
        </w:rPr>
      </w:pPr>
      <w:r>
        <w:rPr>
          <w:rFonts w:ascii="Times New Roman" w:hAnsi="Times New Roman"/>
          <w:szCs w:val="21"/>
        </w:rPr>
        <w:t>5. 买方承诺保证按照合同约定的条件、时间和方式向卖方支付合同价款。</w:t>
      </w:r>
    </w:p>
    <w:p>
      <w:pPr>
        <w:spacing w:line="440" w:lineRule="exact"/>
        <w:ind w:firstLine="480"/>
        <w:rPr>
          <w:rFonts w:ascii="Times New Roman" w:hAnsi="Times New Roman"/>
          <w:szCs w:val="21"/>
        </w:rPr>
      </w:pPr>
      <w:r>
        <w:rPr>
          <w:rFonts w:ascii="Times New Roman" w:hAnsi="Times New Roman"/>
          <w:szCs w:val="21"/>
        </w:rPr>
        <w:t>6. 本合同协议书一式</w:t>
      </w:r>
      <w:r>
        <w:rPr>
          <w:rFonts w:ascii="Times New Roman" w:hAnsi="Times New Roman"/>
          <w:u w:val="single"/>
        </w:rPr>
        <w:t xml:space="preserve">       </w:t>
      </w:r>
      <w:r>
        <w:rPr>
          <w:rFonts w:ascii="Times New Roman" w:hAnsi="Times New Roman"/>
          <w:szCs w:val="21"/>
        </w:rPr>
        <w:t>份，合同双方各执</w:t>
      </w:r>
      <w:r>
        <w:rPr>
          <w:rFonts w:ascii="Times New Roman" w:hAnsi="Times New Roman"/>
          <w:u w:val="single"/>
        </w:rPr>
        <w:t xml:space="preserve">       </w:t>
      </w:r>
      <w:r>
        <w:rPr>
          <w:rFonts w:ascii="Times New Roman" w:hAnsi="Times New Roman"/>
          <w:szCs w:val="21"/>
        </w:rPr>
        <w:t>份。</w:t>
      </w:r>
    </w:p>
    <w:p>
      <w:pPr>
        <w:spacing w:line="440" w:lineRule="exact"/>
        <w:ind w:firstLine="480"/>
        <w:rPr>
          <w:rFonts w:ascii="Times New Roman" w:hAnsi="Times New Roman"/>
          <w:szCs w:val="21"/>
        </w:rPr>
      </w:pPr>
      <w:r>
        <w:rPr>
          <w:rFonts w:ascii="Times New Roman" w:hAnsi="Times New Roman"/>
          <w:szCs w:val="21"/>
        </w:rPr>
        <w:t>7. 合同未尽事宜，双方另行签订补充协议，补充协议是合同的组成部分。</w:t>
      </w:r>
    </w:p>
    <w:p>
      <w:pPr>
        <w:adjustRightInd w:val="0"/>
        <w:snapToGrid w:val="0"/>
        <w:ind w:firstLine="480"/>
        <w:rPr>
          <w:rFonts w:ascii="Times New Roman" w:hAnsi="Times New Roman"/>
          <w:szCs w:val="21"/>
        </w:rPr>
      </w:pPr>
    </w:p>
    <w:p>
      <w:pPr>
        <w:tabs>
          <w:tab w:val="left" w:pos="4395"/>
        </w:tabs>
        <w:spacing w:line="440" w:lineRule="exact"/>
        <w:ind w:firstLine="3000" w:firstLineChars="1250"/>
        <w:rPr>
          <w:rFonts w:ascii="Times New Roman" w:hAnsi="Times New Roman"/>
          <w:szCs w:val="21"/>
        </w:rPr>
      </w:pPr>
      <w:r>
        <w:rPr>
          <w:rFonts w:ascii="Times New Roman" w:hAnsi="Times New Roman"/>
          <w:szCs w:val="21"/>
        </w:rPr>
        <w:t>买方：</w:t>
      </w:r>
      <w:r>
        <w:rPr>
          <w:rFonts w:ascii="Times New Roman" w:hAnsi="Times New Roman"/>
          <w:u w:val="single"/>
        </w:rPr>
        <w:t xml:space="preserve">                             </w:t>
      </w:r>
      <w:r>
        <w:rPr>
          <w:rFonts w:ascii="Times New Roman" w:hAnsi="Times New Roman"/>
          <w:szCs w:val="21"/>
        </w:rPr>
        <w:t>（盖单位章）</w:t>
      </w:r>
      <w:r>
        <w:rPr>
          <w:rFonts w:ascii="Times New Roman" w:hAnsi="Times New Roman"/>
          <w:szCs w:val="21"/>
        </w:rPr>
        <w:tab/>
      </w:r>
    </w:p>
    <w:p>
      <w:pPr>
        <w:tabs>
          <w:tab w:val="left" w:pos="4395"/>
        </w:tabs>
        <w:spacing w:line="440" w:lineRule="exact"/>
        <w:ind w:firstLine="3000" w:firstLineChars="1250"/>
        <w:rPr>
          <w:rFonts w:ascii="Times New Roman" w:hAnsi="Times New Roman"/>
          <w:szCs w:val="21"/>
        </w:rPr>
      </w:pPr>
      <w:r>
        <w:rPr>
          <w:rFonts w:ascii="Times New Roman" w:hAnsi="Times New Roman"/>
          <w:szCs w:val="21"/>
        </w:rPr>
        <w:t>法定代表人</w:t>
      </w:r>
      <w:r>
        <w:rPr>
          <w:rFonts w:hint="eastAsia" w:ascii="Times New Roman" w:hAnsi="Times New Roman"/>
          <w:szCs w:val="21"/>
        </w:rPr>
        <w:t xml:space="preserve"> </w:t>
      </w:r>
      <w:r>
        <w:rPr>
          <w:rFonts w:ascii="Times New Roman" w:hAnsi="Times New Roman"/>
          <w:szCs w:val="21"/>
        </w:rPr>
        <w:t>或其委托代理人：</w:t>
      </w:r>
      <w:r>
        <w:rPr>
          <w:rFonts w:ascii="Times New Roman" w:hAnsi="Times New Roman"/>
          <w:u w:val="single"/>
        </w:rPr>
        <w:t xml:space="preserve">         </w:t>
      </w:r>
      <w:r>
        <w:rPr>
          <w:rFonts w:ascii="Times New Roman" w:hAnsi="Times New Roman"/>
          <w:szCs w:val="21"/>
        </w:rPr>
        <w:t>（签字）</w:t>
      </w:r>
    </w:p>
    <w:p>
      <w:pPr>
        <w:spacing w:line="600" w:lineRule="exact"/>
        <w:ind w:firstLine="4867" w:firstLineChars="2028"/>
        <w:rPr>
          <w:rFonts w:ascii="Times New Roman" w:hAnsi="Times New Roman"/>
          <w:szCs w:val="21"/>
        </w:rPr>
      </w:pPr>
      <w:r>
        <w:rPr>
          <w:rFonts w:ascii="Times New Roman" w:hAnsi="Times New Roman"/>
          <w:szCs w:val="21"/>
        </w:rPr>
        <w:tab/>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tabs>
          <w:tab w:val="left" w:pos="4395"/>
        </w:tabs>
        <w:spacing w:line="440" w:lineRule="exact"/>
        <w:ind w:firstLine="480"/>
        <w:rPr>
          <w:rFonts w:ascii="Times New Roman" w:hAnsi="Times New Roman"/>
          <w:szCs w:val="21"/>
        </w:rPr>
      </w:pPr>
    </w:p>
    <w:p>
      <w:pPr>
        <w:tabs>
          <w:tab w:val="left" w:pos="4395"/>
        </w:tabs>
        <w:spacing w:line="440" w:lineRule="exact"/>
        <w:ind w:firstLine="2880" w:firstLineChars="1200"/>
        <w:rPr>
          <w:rFonts w:ascii="Times New Roman" w:hAnsi="Times New Roman"/>
          <w:szCs w:val="21"/>
        </w:rPr>
      </w:pPr>
      <w:r>
        <w:rPr>
          <w:rFonts w:ascii="Times New Roman" w:hAnsi="Times New Roman"/>
          <w:szCs w:val="21"/>
        </w:rPr>
        <w:t>卖方：</w:t>
      </w:r>
      <w:r>
        <w:rPr>
          <w:rFonts w:ascii="Times New Roman" w:hAnsi="Times New Roman"/>
          <w:u w:val="single"/>
        </w:rPr>
        <w:t xml:space="preserve">                         </w:t>
      </w:r>
      <w:r>
        <w:rPr>
          <w:rFonts w:ascii="Times New Roman" w:hAnsi="Times New Roman"/>
          <w:szCs w:val="21"/>
        </w:rPr>
        <w:t>（盖单位章）</w:t>
      </w:r>
    </w:p>
    <w:p>
      <w:pPr>
        <w:tabs>
          <w:tab w:val="left" w:pos="4395"/>
        </w:tabs>
        <w:spacing w:line="440" w:lineRule="exact"/>
        <w:ind w:firstLine="2880" w:firstLineChars="1200"/>
        <w:rPr>
          <w:rFonts w:ascii="Times New Roman" w:hAnsi="Times New Roman"/>
          <w:szCs w:val="21"/>
        </w:rPr>
      </w:pPr>
      <w:r>
        <w:rPr>
          <w:rFonts w:ascii="Times New Roman" w:hAnsi="Times New Roman"/>
          <w:szCs w:val="21"/>
        </w:rPr>
        <w:t>法定代表人或其委托代理人：</w:t>
      </w:r>
      <w:r>
        <w:rPr>
          <w:rFonts w:ascii="Times New Roman" w:hAnsi="Times New Roman"/>
          <w:u w:val="single"/>
        </w:rPr>
        <w:t xml:space="preserve">          </w:t>
      </w:r>
      <w:r>
        <w:rPr>
          <w:rFonts w:ascii="Times New Roman" w:hAnsi="Times New Roman"/>
          <w:szCs w:val="21"/>
        </w:rPr>
        <w:t>（签字）</w:t>
      </w:r>
    </w:p>
    <w:p>
      <w:pPr>
        <w:spacing w:line="600" w:lineRule="exact"/>
        <w:ind w:firstLine="4867" w:firstLineChars="2028"/>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adjustRightInd w:val="0"/>
        <w:snapToGrid w:val="0"/>
        <w:ind w:firstLine="480"/>
        <w:rPr>
          <w:rFonts w:ascii="Times New Roman" w:hAnsi="Times New Roman"/>
          <w:szCs w:val="21"/>
        </w:rPr>
      </w:pPr>
      <w:r>
        <w:rPr>
          <w:rFonts w:ascii="Times New Roman" w:hAnsi="Times New Roman"/>
          <w:szCs w:val="21"/>
        </w:rPr>
        <w:br w:type="page"/>
      </w:r>
    </w:p>
    <w:bookmarkEnd w:id="362"/>
    <w:bookmarkEnd w:id="363"/>
    <w:bookmarkEnd w:id="364"/>
    <w:bookmarkEnd w:id="365"/>
    <w:p>
      <w:pPr>
        <w:spacing w:line="600" w:lineRule="exact"/>
        <w:ind w:firstLine="4867" w:firstLineChars="2028"/>
        <w:jc w:val="right"/>
        <w:rPr>
          <w:rFonts w:ascii="Times New Roman" w:hAnsi="Times New Roman"/>
          <w:b/>
          <w:bCs/>
          <w:sz w:val="44"/>
          <w:szCs w:val="44"/>
        </w:rPr>
      </w:pPr>
      <w:bookmarkStart w:id="375" w:name="_Toc246997081"/>
      <w:bookmarkStart w:id="376" w:name="_Toc179632787"/>
      <w:bookmarkStart w:id="377" w:name="_Toc247085853"/>
      <w:bookmarkStart w:id="378" w:name="_Toc246996338"/>
      <w:bookmarkStart w:id="379" w:name="_Toc152042549"/>
      <w:bookmarkStart w:id="380" w:name="_Toc144974829"/>
      <w:r>
        <w:rPr>
          <w:rFonts w:ascii="Times New Roman" w:hAnsi="Times New Roman"/>
          <w:szCs w:val="21"/>
        </w:rPr>
        <w:br w:type="page"/>
      </w:r>
    </w:p>
    <w:p>
      <w:pPr>
        <w:pStyle w:val="4"/>
        <w:ind w:firstLine="883"/>
        <w:jc w:val="center"/>
      </w:pPr>
    </w:p>
    <w:p>
      <w:pPr>
        <w:pStyle w:val="4"/>
        <w:ind w:firstLine="883"/>
        <w:jc w:val="center"/>
      </w:pPr>
      <w:bookmarkStart w:id="381" w:name="_Toc18350"/>
      <w:bookmarkStart w:id="382" w:name="_Toc12571"/>
      <w:r>
        <w:t>第</w:t>
      </w:r>
      <w:r>
        <w:rPr>
          <w:rFonts w:hint="eastAsia"/>
        </w:rPr>
        <w:t>二</w:t>
      </w:r>
      <w:r>
        <w:t>卷</w:t>
      </w:r>
      <w:bookmarkEnd w:id="381"/>
      <w:bookmarkEnd w:id="382"/>
    </w:p>
    <w:p>
      <w:pPr>
        <w:pStyle w:val="4"/>
        <w:ind w:firstLine="883"/>
        <w:jc w:val="center"/>
        <w:rPr>
          <w:bCs/>
          <w:sz w:val="20"/>
        </w:rPr>
      </w:pPr>
      <w:r>
        <w:rPr>
          <w:bCs/>
        </w:rPr>
        <w:br w:type="page"/>
      </w:r>
    </w:p>
    <w:p>
      <w:pPr>
        <w:pStyle w:val="4"/>
        <w:ind w:firstLine="883"/>
        <w:jc w:val="center"/>
      </w:pPr>
      <w:bookmarkStart w:id="383" w:name="_Toc25154"/>
      <w:bookmarkStart w:id="384" w:name="_Toc30657"/>
      <w:r>
        <w:t>第五章</w:t>
      </w:r>
      <w:r>
        <w:rPr>
          <w:rFonts w:hint="eastAsia"/>
        </w:rPr>
        <w:t xml:space="preserve"> </w:t>
      </w:r>
      <w:r>
        <w:t>供货要求</w:t>
      </w:r>
      <w:bookmarkEnd w:id="383"/>
      <w:bookmarkEnd w:id="384"/>
    </w:p>
    <w:p>
      <w:pPr>
        <w:topLinePunct/>
        <w:spacing w:line="440" w:lineRule="exact"/>
        <w:ind w:firstLine="480"/>
        <w:jc w:val="center"/>
        <w:rPr>
          <w:rFonts w:ascii="Times New Roman" w:hAnsi="Times New Roman"/>
        </w:rPr>
      </w:pPr>
    </w:p>
    <w:p>
      <w:pPr>
        <w:spacing w:line="400" w:lineRule="exact"/>
        <w:ind w:firstLine="480"/>
        <w:jc w:val="center"/>
        <w:rPr>
          <w:rFonts w:ascii="Times New Roman" w:hAnsi="Times New Roman"/>
        </w:rPr>
      </w:pPr>
      <w:r>
        <w:rPr>
          <w:rFonts w:ascii="Times New Roman" w:hAnsi="Times New Roman"/>
        </w:rPr>
        <w:br w:type="page"/>
      </w:r>
    </w:p>
    <w:bookmarkEnd w:id="375"/>
    <w:bookmarkEnd w:id="376"/>
    <w:bookmarkEnd w:id="377"/>
    <w:bookmarkEnd w:id="378"/>
    <w:p>
      <w:pPr>
        <w:pStyle w:val="6"/>
        <w:spacing w:line="240" w:lineRule="auto"/>
        <w:jc w:val="center"/>
        <w:rPr>
          <w:rFonts w:ascii="Times New Roman" w:hAnsi="Times New Roman"/>
        </w:rPr>
      </w:pPr>
      <w:bookmarkStart w:id="385" w:name="_Toc13572"/>
      <w:r>
        <w:rPr>
          <w:rFonts w:hint="eastAsia"/>
        </w:rPr>
        <w:t>一</w:t>
      </w:r>
      <w:r>
        <w:t>、</w:t>
      </w:r>
      <w:r>
        <w:rPr>
          <w:rFonts w:hint="eastAsia"/>
        </w:rPr>
        <w:t>主要设备</w:t>
      </w:r>
      <w:r>
        <w:t>技术性能指标</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718"/>
        <w:gridCol w:w="582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ind w:firstLine="0" w:firstLineChars="0"/>
              <w:jc w:val="center"/>
              <w:rPr>
                <w:rFonts w:ascii="仿宋" w:hAnsi="仿宋" w:eastAsia="仿宋" w:cs="仿宋"/>
                <w:sz w:val="21"/>
                <w:szCs w:val="21"/>
              </w:rPr>
            </w:pPr>
            <w:r>
              <w:rPr>
                <w:rFonts w:hint="eastAsia" w:ascii="仿宋" w:hAnsi="仿宋" w:eastAsia="仿宋" w:cs="仿宋"/>
                <w:sz w:val="21"/>
                <w:szCs w:val="21"/>
              </w:rPr>
              <w:t>序号</w:t>
            </w:r>
          </w:p>
        </w:tc>
        <w:tc>
          <w:tcPr>
            <w:tcW w:w="2526" w:type="dxa"/>
          </w:tcPr>
          <w:p>
            <w:pPr>
              <w:ind w:firstLine="0" w:firstLineChars="0"/>
              <w:jc w:val="center"/>
              <w:rPr>
                <w:rFonts w:ascii="仿宋" w:hAnsi="仿宋" w:eastAsia="仿宋" w:cs="仿宋"/>
                <w:sz w:val="21"/>
                <w:szCs w:val="21"/>
              </w:rPr>
            </w:pPr>
            <w:r>
              <w:rPr>
                <w:rFonts w:hint="eastAsia" w:ascii="仿宋" w:hAnsi="仿宋" w:eastAsia="仿宋" w:cs="仿宋"/>
                <w:sz w:val="21"/>
                <w:szCs w:val="21"/>
              </w:rPr>
              <w:t>名称</w:t>
            </w:r>
          </w:p>
        </w:tc>
        <w:tc>
          <w:tcPr>
            <w:tcW w:w="9000" w:type="dxa"/>
          </w:tcPr>
          <w:p>
            <w:pPr>
              <w:jc w:val="center"/>
              <w:rPr>
                <w:rFonts w:ascii="仿宋" w:hAnsi="仿宋" w:eastAsia="仿宋" w:cs="仿宋"/>
                <w:sz w:val="21"/>
                <w:szCs w:val="21"/>
              </w:rPr>
            </w:pPr>
            <w:r>
              <w:rPr>
                <w:rFonts w:hint="eastAsia" w:ascii="仿宋" w:hAnsi="仿宋" w:eastAsia="仿宋" w:cs="仿宋"/>
                <w:sz w:val="21"/>
                <w:szCs w:val="21"/>
              </w:rPr>
              <w:t>技术参数</w:t>
            </w:r>
          </w:p>
        </w:tc>
        <w:tc>
          <w:tcPr>
            <w:tcW w:w="836" w:type="dxa"/>
          </w:tcPr>
          <w:p>
            <w:pPr>
              <w:ind w:firstLine="0" w:firstLineChars="0"/>
              <w:jc w:val="center"/>
            </w:pPr>
            <w:r>
              <w:rPr>
                <w:rFonts w:hint="eastAsia" w:ascii="仿宋" w:hAnsi="仿宋" w:eastAsia="仿宋" w:cs="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ind w:firstLine="0" w:firstLineChars="0"/>
              <w:jc w:val="left"/>
              <w:rPr>
                <w:rFonts w:ascii="仿宋" w:hAnsi="仿宋" w:eastAsia="仿宋" w:cs="仿宋"/>
                <w:color w:val="FF0000"/>
                <w:sz w:val="21"/>
                <w:szCs w:val="21"/>
              </w:rPr>
            </w:pPr>
            <w:r>
              <w:rPr>
                <w:rFonts w:hint="eastAsia" w:ascii="仿宋" w:hAnsi="仿宋" w:eastAsia="仿宋" w:cs="仿宋"/>
                <w:color w:val="FF0000"/>
                <w:sz w:val="21"/>
                <w:szCs w:val="21"/>
              </w:rPr>
              <w:t>1</w:t>
            </w:r>
          </w:p>
        </w:tc>
        <w:tc>
          <w:tcPr>
            <w:tcW w:w="2526" w:type="dxa"/>
          </w:tcPr>
          <w:p>
            <w:pPr>
              <w:widowControl/>
              <w:ind w:firstLine="0" w:firstLineChars="0"/>
              <w:textAlignment w:val="top"/>
              <w:rPr>
                <w:rFonts w:ascii="仿宋" w:hAnsi="仿宋" w:eastAsia="仿宋" w:cs="仿宋"/>
                <w:color w:val="FF0000"/>
                <w:sz w:val="21"/>
                <w:szCs w:val="21"/>
              </w:rPr>
            </w:pPr>
            <w:r>
              <w:rPr>
                <w:rFonts w:hint="eastAsia" w:ascii="仿宋" w:hAnsi="仿宋" w:eastAsia="仿宋" w:cs="仿宋"/>
                <w:color w:val="FF0000"/>
                <w:kern w:val="0"/>
                <w:sz w:val="21"/>
                <w:szCs w:val="21"/>
              </w:rPr>
              <w:t>丰田霸道普拉多3.5L自动TX越野车</w:t>
            </w:r>
          </w:p>
        </w:tc>
        <w:tc>
          <w:tcPr>
            <w:tcW w:w="9000" w:type="dxa"/>
          </w:tcPr>
          <w:p>
            <w:pPr>
              <w:pStyle w:val="57"/>
              <w:widowControl/>
              <w:numPr>
                <w:ilvl w:val="0"/>
                <w:numId w:val="1"/>
              </w:numPr>
              <w:spacing w:line="288" w:lineRule="auto"/>
              <w:ind w:firstLineChars="0"/>
              <w:jc w:val="left"/>
              <w:rPr>
                <w:rFonts w:ascii="仿宋" w:hAnsi="仿宋" w:eastAsia="仿宋" w:cs="仿宋"/>
                <w:bCs/>
                <w:color w:val="FF0000"/>
                <w:kern w:val="0"/>
                <w:sz w:val="21"/>
                <w:szCs w:val="21"/>
              </w:rPr>
            </w:pPr>
            <w:r>
              <w:rPr>
                <w:rFonts w:hint="eastAsia" w:ascii="仿宋" w:hAnsi="仿宋" w:eastAsia="仿宋" w:cs="仿宋"/>
                <w:bCs/>
                <w:color w:val="FF0000"/>
                <w:kern w:val="0"/>
                <w:sz w:val="21"/>
                <w:szCs w:val="21"/>
              </w:rPr>
              <w:t>最大功率206（KW</w:t>
            </w:r>
            <w:r>
              <w:rPr>
                <w:rFonts w:ascii="仿宋" w:hAnsi="仿宋" w:eastAsia="仿宋" w:cs="仿宋"/>
                <w:bCs/>
                <w:color w:val="FF0000"/>
                <w:kern w:val="0"/>
                <w:sz w:val="21"/>
                <w:szCs w:val="21"/>
              </w:rPr>
              <w:t>）</w:t>
            </w:r>
          </w:p>
          <w:p>
            <w:pPr>
              <w:pStyle w:val="57"/>
              <w:widowControl/>
              <w:numPr>
                <w:ilvl w:val="0"/>
                <w:numId w:val="1"/>
              </w:numPr>
              <w:spacing w:line="288" w:lineRule="auto"/>
              <w:ind w:firstLineChars="0"/>
              <w:jc w:val="left"/>
              <w:rPr>
                <w:rFonts w:ascii="仿宋" w:hAnsi="仿宋" w:eastAsia="仿宋" w:cs="仿宋"/>
                <w:bCs/>
                <w:color w:val="FF0000"/>
                <w:kern w:val="0"/>
                <w:sz w:val="21"/>
                <w:szCs w:val="21"/>
              </w:rPr>
            </w:pPr>
            <w:r>
              <w:rPr>
                <w:rFonts w:hint="eastAsia" w:ascii="仿宋" w:hAnsi="仿宋" w:eastAsia="仿宋" w:cs="仿宋"/>
                <w:bCs/>
                <w:color w:val="FF0000"/>
                <w:kern w:val="0"/>
                <w:sz w:val="21"/>
                <w:szCs w:val="21"/>
              </w:rPr>
              <w:t>最大扭矩365(N.M)</w:t>
            </w:r>
          </w:p>
          <w:p>
            <w:pPr>
              <w:pStyle w:val="57"/>
              <w:widowControl/>
              <w:numPr>
                <w:ilvl w:val="0"/>
                <w:numId w:val="1"/>
              </w:numPr>
              <w:spacing w:line="288" w:lineRule="auto"/>
              <w:ind w:firstLineChars="0"/>
              <w:jc w:val="left"/>
              <w:rPr>
                <w:rFonts w:ascii="仿宋" w:hAnsi="仿宋" w:eastAsia="仿宋" w:cs="仿宋"/>
                <w:bCs/>
                <w:color w:val="FF0000"/>
                <w:kern w:val="0"/>
                <w:sz w:val="21"/>
                <w:szCs w:val="21"/>
              </w:rPr>
            </w:pPr>
            <w:r>
              <w:rPr>
                <w:rFonts w:hint="eastAsia" w:ascii="仿宋" w:hAnsi="仿宋" w:eastAsia="仿宋" w:cs="仿宋"/>
                <w:bCs/>
                <w:color w:val="FF0000"/>
                <w:kern w:val="0"/>
                <w:sz w:val="21"/>
                <w:szCs w:val="21"/>
              </w:rPr>
              <w:t>发动机3.5L   280马力  V6</w:t>
            </w:r>
          </w:p>
          <w:p>
            <w:pPr>
              <w:pStyle w:val="57"/>
              <w:widowControl/>
              <w:numPr>
                <w:ilvl w:val="0"/>
                <w:numId w:val="1"/>
              </w:numPr>
              <w:spacing w:line="288" w:lineRule="auto"/>
              <w:ind w:firstLineChars="0"/>
              <w:jc w:val="left"/>
              <w:rPr>
                <w:rFonts w:ascii="仿宋" w:hAnsi="仿宋" w:eastAsia="仿宋" w:cs="仿宋"/>
                <w:bCs/>
                <w:color w:val="FF0000"/>
                <w:kern w:val="0"/>
                <w:sz w:val="21"/>
                <w:szCs w:val="21"/>
              </w:rPr>
            </w:pPr>
            <w:r>
              <w:rPr>
                <w:rFonts w:hint="eastAsia" w:ascii="仿宋" w:hAnsi="仿宋" w:eastAsia="仿宋" w:cs="仿宋"/>
                <w:bCs/>
                <w:color w:val="FF0000"/>
                <w:kern w:val="0"/>
                <w:sz w:val="21"/>
                <w:szCs w:val="21"/>
              </w:rPr>
              <w:t>变速箱6挡手自一体</w:t>
            </w:r>
          </w:p>
          <w:p>
            <w:pPr>
              <w:pStyle w:val="57"/>
              <w:widowControl/>
              <w:numPr>
                <w:ilvl w:val="0"/>
                <w:numId w:val="1"/>
              </w:numPr>
              <w:spacing w:line="288" w:lineRule="auto"/>
              <w:ind w:firstLineChars="0"/>
              <w:jc w:val="left"/>
              <w:rPr>
                <w:rFonts w:ascii="仿宋" w:hAnsi="仿宋" w:eastAsia="仿宋" w:cs="仿宋"/>
                <w:bCs/>
                <w:color w:val="FF0000"/>
                <w:kern w:val="0"/>
                <w:sz w:val="21"/>
                <w:szCs w:val="21"/>
              </w:rPr>
            </w:pPr>
            <w:r>
              <w:rPr>
                <w:rFonts w:hint="eastAsia" w:ascii="仿宋" w:hAnsi="仿宋" w:eastAsia="仿宋" w:cs="仿宋"/>
                <w:bCs/>
                <w:color w:val="FF0000"/>
                <w:kern w:val="0"/>
                <w:sz w:val="21"/>
                <w:szCs w:val="21"/>
              </w:rPr>
              <w:t>长度5010-4840(mm)</w:t>
            </w:r>
          </w:p>
          <w:p>
            <w:pPr>
              <w:pStyle w:val="57"/>
              <w:widowControl/>
              <w:numPr>
                <w:ilvl w:val="0"/>
                <w:numId w:val="1"/>
              </w:numPr>
              <w:spacing w:line="288" w:lineRule="auto"/>
              <w:ind w:firstLineChars="0"/>
              <w:jc w:val="left"/>
              <w:rPr>
                <w:rFonts w:ascii="仿宋" w:hAnsi="仿宋" w:eastAsia="仿宋" w:cs="仿宋"/>
                <w:bCs/>
                <w:color w:val="FF0000"/>
                <w:kern w:val="0"/>
                <w:sz w:val="21"/>
                <w:szCs w:val="21"/>
              </w:rPr>
            </w:pPr>
            <w:r>
              <w:rPr>
                <w:rFonts w:hint="eastAsia" w:ascii="仿宋" w:hAnsi="仿宋" w:eastAsia="仿宋" w:cs="仿宋"/>
                <w:bCs/>
                <w:color w:val="FF0000"/>
                <w:kern w:val="0"/>
                <w:sz w:val="21"/>
                <w:szCs w:val="21"/>
              </w:rPr>
              <w:t>宽度1885(mm)</w:t>
            </w:r>
          </w:p>
          <w:p>
            <w:pPr>
              <w:pStyle w:val="57"/>
              <w:widowControl/>
              <w:numPr>
                <w:ilvl w:val="0"/>
                <w:numId w:val="1"/>
              </w:numPr>
              <w:spacing w:line="288" w:lineRule="auto"/>
              <w:ind w:firstLineChars="0"/>
              <w:jc w:val="left"/>
              <w:rPr>
                <w:rFonts w:ascii="仿宋" w:hAnsi="仿宋" w:eastAsia="仿宋" w:cs="仿宋"/>
                <w:bCs/>
                <w:color w:val="FF0000"/>
                <w:kern w:val="0"/>
                <w:sz w:val="21"/>
                <w:szCs w:val="21"/>
              </w:rPr>
            </w:pPr>
            <w:r>
              <w:rPr>
                <w:rFonts w:hint="eastAsia" w:ascii="仿宋" w:hAnsi="仿宋" w:eastAsia="仿宋" w:cs="仿宋"/>
                <w:bCs/>
                <w:color w:val="FF0000"/>
                <w:kern w:val="0"/>
                <w:sz w:val="21"/>
                <w:szCs w:val="21"/>
              </w:rPr>
              <w:t>高度1890(mm)</w:t>
            </w:r>
          </w:p>
          <w:p>
            <w:pPr>
              <w:pStyle w:val="57"/>
              <w:widowControl/>
              <w:numPr>
                <w:ilvl w:val="0"/>
                <w:numId w:val="1"/>
              </w:numPr>
              <w:spacing w:line="288" w:lineRule="auto"/>
              <w:ind w:firstLineChars="0"/>
              <w:jc w:val="left"/>
              <w:rPr>
                <w:rFonts w:ascii="仿宋" w:hAnsi="仿宋" w:eastAsia="仿宋" w:cs="仿宋"/>
                <w:bCs/>
                <w:color w:val="FF0000"/>
                <w:kern w:val="0"/>
                <w:sz w:val="21"/>
                <w:szCs w:val="21"/>
              </w:rPr>
            </w:pPr>
            <w:r>
              <w:rPr>
                <w:rFonts w:hint="eastAsia" w:ascii="仿宋" w:hAnsi="仿宋" w:eastAsia="仿宋" w:cs="仿宋"/>
                <w:bCs/>
                <w:color w:val="FF0000"/>
                <w:kern w:val="0"/>
                <w:sz w:val="21"/>
                <w:szCs w:val="21"/>
              </w:rPr>
              <w:t>油箱容量87(升)</w:t>
            </w:r>
          </w:p>
          <w:p>
            <w:pPr>
              <w:pStyle w:val="57"/>
              <w:widowControl/>
              <w:numPr>
                <w:ilvl w:val="0"/>
                <w:numId w:val="1"/>
              </w:numPr>
              <w:spacing w:line="288" w:lineRule="auto"/>
              <w:ind w:firstLineChars="0"/>
              <w:jc w:val="left"/>
              <w:rPr>
                <w:rFonts w:ascii="仿宋" w:hAnsi="仿宋" w:eastAsia="仿宋" w:cs="仿宋"/>
                <w:bCs/>
                <w:color w:val="FF0000"/>
                <w:kern w:val="0"/>
                <w:sz w:val="21"/>
                <w:szCs w:val="21"/>
              </w:rPr>
            </w:pPr>
            <w:r>
              <w:rPr>
                <w:rFonts w:hint="eastAsia" w:ascii="仿宋" w:hAnsi="仿宋" w:eastAsia="仿宋" w:cs="仿宋"/>
                <w:bCs/>
                <w:color w:val="FF0000"/>
                <w:kern w:val="0"/>
                <w:sz w:val="21"/>
                <w:szCs w:val="21"/>
              </w:rPr>
              <w:t>整备质量2285（kg</w:t>
            </w:r>
            <w:r>
              <w:rPr>
                <w:rFonts w:ascii="仿宋" w:hAnsi="仿宋" w:eastAsia="仿宋" w:cs="仿宋"/>
                <w:bCs/>
                <w:color w:val="FF0000"/>
                <w:kern w:val="0"/>
                <w:sz w:val="21"/>
                <w:szCs w:val="21"/>
              </w:rPr>
              <w:t>）</w:t>
            </w:r>
          </w:p>
          <w:p>
            <w:pPr>
              <w:widowControl/>
              <w:spacing w:line="288" w:lineRule="auto"/>
              <w:ind w:firstLine="0" w:firstLineChars="0"/>
              <w:jc w:val="left"/>
              <w:rPr>
                <w:rFonts w:ascii="仿宋" w:hAnsi="仿宋" w:eastAsia="仿宋" w:cs="仿宋"/>
                <w:bCs/>
                <w:color w:val="FF0000"/>
                <w:kern w:val="0"/>
                <w:sz w:val="21"/>
                <w:szCs w:val="21"/>
              </w:rPr>
            </w:pPr>
            <w:r>
              <w:rPr>
                <w:rFonts w:hint="eastAsia" w:ascii="仿宋" w:hAnsi="仿宋" w:eastAsia="仿宋" w:cs="仿宋"/>
                <w:bCs/>
                <w:color w:val="FF0000"/>
                <w:kern w:val="0"/>
                <w:sz w:val="21"/>
                <w:szCs w:val="21"/>
              </w:rPr>
              <w:t>10.最大马力280(ps)</w:t>
            </w:r>
          </w:p>
          <w:p>
            <w:pPr>
              <w:pStyle w:val="2"/>
              <w:ind w:firstLine="0" w:firstLineChars="0"/>
              <w:rPr>
                <w:rFonts w:ascii="仿宋" w:hAnsi="仿宋" w:eastAsia="仿宋"/>
                <w:sz w:val="21"/>
                <w:szCs w:val="21"/>
              </w:rPr>
            </w:pPr>
            <w:r>
              <w:rPr>
                <w:rFonts w:hint="eastAsia" w:ascii="仿宋" w:hAnsi="仿宋" w:eastAsia="仿宋"/>
                <w:sz w:val="21"/>
                <w:szCs w:val="21"/>
              </w:rPr>
              <w:t>11.电动调节真皮座椅、通风加热、行李架、DVD可视倒车雷达、冰箱、电动折叠后视镜等</w:t>
            </w:r>
          </w:p>
          <w:p>
            <w:pPr>
              <w:pStyle w:val="3"/>
              <w:ind w:firstLine="0" w:firstLineChars="0"/>
            </w:pPr>
          </w:p>
          <w:p>
            <w:pPr>
              <w:pStyle w:val="3"/>
              <w:ind w:firstLine="480"/>
            </w:pPr>
          </w:p>
          <w:p>
            <w:pPr>
              <w:pStyle w:val="2"/>
              <w:ind w:firstLine="0" w:firstLineChars="0"/>
            </w:pPr>
          </w:p>
          <w:p>
            <w:pPr>
              <w:pStyle w:val="2"/>
              <w:ind w:firstLine="0" w:firstLineChars="0"/>
            </w:pPr>
          </w:p>
          <w:p>
            <w:pPr>
              <w:pStyle w:val="57"/>
              <w:widowControl/>
              <w:spacing w:line="288" w:lineRule="auto"/>
              <w:ind w:left="360" w:firstLine="0" w:firstLineChars="0"/>
              <w:jc w:val="left"/>
              <w:rPr>
                <w:rFonts w:ascii="仿宋" w:hAnsi="仿宋" w:eastAsia="仿宋" w:cs="仿宋"/>
                <w:bCs/>
                <w:color w:val="FF0000"/>
                <w:kern w:val="0"/>
                <w:sz w:val="21"/>
                <w:szCs w:val="21"/>
              </w:rPr>
            </w:pPr>
          </w:p>
          <w:p>
            <w:pPr>
              <w:pStyle w:val="2"/>
              <w:ind w:firstLine="0" w:firstLineChars="0"/>
            </w:pPr>
          </w:p>
        </w:tc>
        <w:tc>
          <w:tcPr>
            <w:tcW w:w="836" w:type="dxa"/>
          </w:tcPr>
          <w:p>
            <w:pPr>
              <w:ind w:firstLine="480"/>
              <w:jc w:val="left"/>
            </w:pPr>
          </w:p>
        </w:tc>
      </w:tr>
    </w:tbl>
    <w:p>
      <w:pPr>
        <w:ind w:firstLine="480"/>
        <w:jc w:val="left"/>
        <w:sectPr>
          <w:footerReference r:id="rId11" w:type="default"/>
          <w:pgSz w:w="12240" w:h="15840"/>
          <w:pgMar w:top="1440" w:right="1800" w:bottom="1440" w:left="1800" w:header="720" w:footer="720" w:gutter="0"/>
          <w:cols w:space="0" w:num="1"/>
          <w:docGrid w:linePitch="326" w:charSpace="0"/>
        </w:sectPr>
      </w:pPr>
    </w:p>
    <w:bookmarkEnd w:id="385"/>
    <w:p>
      <w:pPr>
        <w:pStyle w:val="4"/>
        <w:ind w:firstLine="883"/>
        <w:jc w:val="center"/>
      </w:pPr>
      <w:bookmarkStart w:id="386" w:name="_Toc30395"/>
      <w:bookmarkStart w:id="387" w:name="_Toc30927"/>
      <w:r>
        <w:t>第</w:t>
      </w:r>
      <w:r>
        <w:rPr>
          <w:rFonts w:hint="eastAsia"/>
        </w:rPr>
        <w:t>三</w:t>
      </w:r>
      <w:r>
        <w:t>卷</w:t>
      </w:r>
      <w:bookmarkEnd w:id="386"/>
      <w:bookmarkEnd w:id="387"/>
    </w:p>
    <w:p>
      <w:pPr>
        <w:spacing w:line="400" w:lineRule="exact"/>
        <w:ind w:firstLine="480"/>
        <w:jc w:val="center"/>
        <w:rPr>
          <w:rFonts w:ascii="Times New Roman" w:hAnsi="Times New Roman"/>
        </w:rPr>
      </w:pPr>
    </w:p>
    <w:p>
      <w:pPr>
        <w:spacing w:line="400" w:lineRule="exact"/>
        <w:ind w:firstLine="480"/>
        <w:jc w:val="center"/>
        <w:rPr>
          <w:rFonts w:ascii="Times New Roman" w:hAnsi="Times New Roman"/>
        </w:rPr>
      </w:pPr>
    </w:p>
    <w:p>
      <w:pPr>
        <w:spacing w:line="400" w:lineRule="exact"/>
        <w:ind w:firstLine="480"/>
        <w:jc w:val="center"/>
        <w:rPr>
          <w:rFonts w:ascii="Times New Roman" w:hAnsi="Times New Roman"/>
        </w:rPr>
      </w:pPr>
      <w:r>
        <w:rPr>
          <w:rFonts w:ascii="Times New Roman" w:hAnsi="Times New Roman"/>
        </w:rPr>
        <w:br w:type="page"/>
      </w:r>
    </w:p>
    <w:p>
      <w:pPr>
        <w:pStyle w:val="4"/>
        <w:ind w:firstLine="883"/>
        <w:jc w:val="center"/>
      </w:pPr>
      <w:bookmarkStart w:id="388" w:name="_Toc7595"/>
      <w:bookmarkStart w:id="389" w:name="_Toc28409"/>
      <w:r>
        <w:t>第六章</w:t>
      </w:r>
      <w:r>
        <w:rPr>
          <w:rFonts w:hint="eastAsia"/>
        </w:rPr>
        <w:t xml:space="preserve"> </w:t>
      </w:r>
      <w:r>
        <w:t>投标文件格式</w:t>
      </w:r>
      <w:bookmarkEnd w:id="388"/>
      <w:bookmarkEnd w:id="389"/>
    </w:p>
    <w:p>
      <w:pPr>
        <w:spacing w:line="400" w:lineRule="exact"/>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p>
    <w:p>
      <w:pPr>
        <w:ind w:firstLine="0" w:firstLineChars="0"/>
        <w:rPr>
          <w:rFonts w:ascii="Times New Roman" w:hAnsi="Times New Roman"/>
        </w:rPr>
      </w:pPr>
    </w:p>
    <w:p>
      <w:pPr>
        <w:ind w:firstLine="480"/>
        <w:rPr>
          <w:rFonts w:ascii="宋体" w:hAnsi="宋体" w:cs="宋体"/>
          <w:szCs w:val="21"/>
        </w:rPr>
      </w:pPr>
    </w:p>
    <w:p>
      <w:pPr>
        <w:ind w:firstLine="480"/>
        <w:rPr>
          <w:rFonts w:ascii="宋体" w:hAnsi="宋体" w:cs="宋体"/>
          <w:szCs w:val="21"/>
        </w:rPr>
      </w:pPr>
      <w:r>
        <w:rPr>
          <w:rFonts w:hint="eastAsia" w:ascii="宋体" w:hAnsi="宋体" w:cs="宋体"/>
          <w:szCs w:val="21"/>
        </w:rPr>
        <w:t xml:space="preserve"> 注：</w:t>
      </w:r>
    </w:p>
    <w:p>
      <w:pPr>
        <w:ind w:firstLine="480"/>
        <w:rPr>
          <w:rFonts w:ascii="宋体" w:hAnsi="宋体" w:cs="宋体"/>
          <w:szCs w:val="21"/>
        </w:rPr>
      </w:pPr>
      <w:r>
        <w:rPr>
          <w:rFonts w:hint="eastAsia" w:ascii="宋体" w:hAnsi="宋体" w:cs="宋体"/>
          <w:szCs w:val="21"/>
        </w:rPr>
        <w:t>（1）投标人参加投标，可以由法定代表人亲自进行，也可由其授权的委托代理人进行。</w:t>
      </w:r>
    </w:p>
    <w:p>
      <w:pPr>
        <w:ind w:firstLine="480"/>
        <w:rPr>
          <w:rFonts w:ascii="宋体" w:hAnsi="宋体" w:cs="宋体"/>
          <w:szCs w:val="21"/>
        </w:rPr>
      </w:pPr>
      <w:r>
        <w:rPr>
          <w:rFonts w:hint="eastAsia" w:ascii="宋体" w:hAnsi="宋体" w:cs="宋体"/>
          <w:szCs w:val="21"/>
        </w:rPr>
        <w:t>法定代表人亲自参加投标而不委托代理人投标的，应按“二、法定代表人身份证明”的格式和要求由投标人单位出具证明。</w:t>
      </w:r>
    </w:p>
    <w:p>
      <w:pPr>
        <w:ind w:firstLine="480"/>
        <w:rPr>
          <w:rFonts w:ascii="宋体" w:hAnsi="宋体" w:cs="宋体"/>
          <w:szCs w:val="21"/>
        </w:rPr>
      </w:pPr>
      <w:r>
        <w:rPr>
          <w:rFonts w:hint="eastAsia" w:ascii="宋体" w:hAnsi="宋体" w:cs="宋体"/>
          <w:szCs w:val="21"/>
        </w:rPr>
        <w:t>委托代理人投标的，应按“二、授权委托书”的格式和要求由法定代表人签署授权委托书并附有关证明。</w:t>
      </w:r>
    </w:p>
    <w:p>
      <w:pPr>
        <w:ind w:firstLine="480"/>
        <w:rPr>
          <w:rFonts w:ascii="宋体" w:hAnsi="宋体" w:cs="宋体"/>
          <w:szCs w:val="21"/>
        </w:rPr>
      </w:pPr>
      <w:r>
        <w:rPr>
          <w:rFonts w:hint="eastAsia" w:ascii="宋体" w:hAnsi="宋体" w:cs="宋体"/>
          <w:szCs w:val="21"/>
        </w:rPr>
        <w:t>（2）投标文件格式中不适用的空格中用“/”标示，也可以不填（空白）。</w:t>
      </w:r>
    </w:p>
    <w:p>
      <w:pPr>
        <w:spacing w:line="400" w:lineRule="exact"/>
        <w:ind w:firstLine="480"/>
        <w:rPr>
          <w:rFonts w:ascii="Times New Roman" w:hAnsi="Times New Roman"/>
        </w:rPr>
      </w:pPr>
    </w:p>
    <w:p>
      <w:pPr>
        <w:spacing w:line="400" w:lineRule="exact"/>
        <w:ind w:firstLine="480"/>
        <w:rPr>
          <w:rFonts w:ascii="Times New Roman" w:hAnsi="Times New Roman"/>
        </w:rPr>
      </w:pPr>
    </w:p>
    <w:p>
      <w:pPr>
        <w:spacing w:line="400" w:lineRule="exact"/>
        <w:ind w:firstLine="480"/>
        <w:rPr>
          <w:rFonts w:ascii="Times New Roman" w:hAnsi="Times New Roman"/>
        </w:rPr>
      </w:pPr>
    </w:p>
    <w:p>
      <w:pPr>
        <w:ind w:firstLine="883"/>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四川兴蜀公路建设发展有限责任公司</w:t>
      </w:r>
    </w:p>
    <w:p>
      <w:pPr>
        <w:ind w:left="-240" w:leftChars="-100" w:firstLine="883"/>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车辆采购</w:t>
      </w:r>
    </w:p>
    <w:p>
      <w:pPr>
        <w:ind w:firstLine="400"/>
        <w:rPr>
          <w:rFonts w:ascii="Times New Roman" w:hAnsi="Times New Roman" w:eastAsia="黑体"/>
          <w:sz w:val="20"/>
        </w:rPr>
      </w:pPr>
    </w:p>
    <w:p>
      <w:pPr>
        <w:ind w:firstLine="400"/>
        <w:rPr>
          <w:rFonts w:ascii="Times New Roman" w:hAnsi="Times New Roman" w:eastAsia="黑体"/>
          <w:sz w:val="20"/>
        </w:rPr>
      </w:pPr>
    </w:p>
    <w:p>
      <w:pPr>
        <w:ind w:firstLine="880"/>
        <w:jc w:val="center"/>
        <w:outlineLvl w:val="0"/>
        <w:rPr>
          <w:rFonts w:ascii="Times New Roman" w:hAnsi="Times New Roman" w:eastAsia="黑体"/>
          <w:sz w:val="44"/>
        </w:rPr>
      </w:pPr>
      <w:bookmarkStart w:id="390" w:name="_Toc7407"/>
    </w:p>
    <w:p>
      <w:pPr>
        <w:ind w:firstLine="880"/>
        <w:jc w:val="center"/>
        <w:outlineLvl w:val="0"/>
        <w:rPr>
          <w:rFonts w:ascii="Times New Roman" w:hAnsi="Times New Roman" w:eastAsia="黑体"/>
          <w:sz w:val="44"/>
        </w:rPr>
      </w:pPr>
    </w:p>
    <w:p>
      <w:pPr>
        <w:ind w:firstLine="880"/>
        <w:jc w:val="center"/>
        <w:outlineLvl w:val="0"/>
        <w:rPr>
          <w:rFonts w:ascii="Times New Roman" w:hAnsi="Times New Roman" w:eastAsia="黑体"/>
          <w:sz w:val="44"/>
        </w:rPr>
      </w:pPr>
      <w:r>
        <w:rPr>
          <w:rFonts w:ascii="Times New Roman" w:hAnsi="Times New Roman" w:eastAsia="黑体"/>
          <w:sz w:val="44"/>
        </w:rPr>
        <w:t>投 标 文 件</w:t>
      </w:r>
      <w:bookmarkEnd w:id="390"/>
    </w:p>
    <w:p>
      <w:pPr>
        <w:ind w:firstLine="880"/>
        <w:jc w:val="center"/>
        <w:rPr>
          <w:rFonts w:ascii="Times New Roman" w:hAnsi="Times New Roman" w:eastAsia="黑体"/>
          <w:sz w:val="44"/>
        </w:rPr>
      </w:pPr>
    </w:p>
    <w:p>
      <w:pPr>
        <w:ind w:firstLine="560"/>
        <w:rPr>
          <w:rFonts w:ascii="Times New Roman" w:hAnsi="Times New Roman" w:eastAsia="黑体"/>
          <w:sz w:val="28"/>
        </w:rPr>
      </w:pPr>
    </w:p>
    <w:p>
      <w:pPr>
        <w:ind w:firstLine="560"/>
        <w:rPr>
          <w:rFonts w:ascii="Times New Roman" w:hAnsi="Times New Roman" w:eastAsia="黑体"/>
          <w:sz w:val="28"/>
        </w:rPr>
      </w:pPr>
    </w:p>
    <w:p>
      <w:pPr>
        <w:ind w:firstLine="560"/>
        <w:rPr>
          <w:rFonts w:ascii="Times New Roman" w:hAnsi="Times New Roman" w:eastAsia="黑体"/>
          <w:sz w:val="28"/>
        </w:rPr>
      </w:pPr>
    </w:p>
    <w:p>
      <w:pPr>
        <w:ind w:firstLine="560"/>
        <w:rPr>
          <w:rFonts w:ascii="Times New Roman" w:hAnsi="Times New Roman" w:eastAsia="黑体"/>
          <w:sz w:val="28"/>
        </w:rPr>
      </w:pPr>
    </w:p>
    <w:p>
      <w:pPr>
        <w:ind w:firstLine="560"/>
        <w:rPr>
          <w:rFonts w:ascii="Times New Roman" w:hAnsi="Times New Roman" w:eastAsia="黑体"/>
          <w:sz w:val="28"/>
        </w:rPr>
      </w:pPr>
    </w:p>
    <w:p>
      <w:pPr>
        <w:ind w:firstLine="1120" w:firstLineChars="400"/>
        <w:outlineLvl w:val="0"/>
        <w:rPr>
          <w:rFonts w:ascii="Times New Roman" w:hAnsi="Times New Roman" w:eastAsia="黑体"/>
          <w:sz w:val="28"/>
          <w:u w:val="single"/>
        </w:rPr>
      </w:pPr>
      <w:bookmarkStart w:id="391" w:name="_Toc26602"/>
      <w:r>
        <w:rPr>
          <w:rFonts w:ascii="Times New Roman" w:hAnsi="Times New Roman" w:eastAsia="黑体"/>
          <w:sz w:val="28"/>
        </w:rPr>
        <w:t>投标人：</w:t>
      </w:r>
      <w:r>
        <w:rPr>
          <w:rFonts w:ascii="Times New Roman" w:hAnsi="Times New Roman"/>
          <w:u w:val="single"/>
        </w:rPr>
        <w:t xml:space="preserve">                                          </w:t>
      </w:r>
      <w:r>
        <w:rPr>
          <w:rFonts w:ascii="Times New Roman" w:hAnsi="Times New Roman" w:eastAsia="黑体"/>
          <w:sz w:val="28"/>
        </w:rPr>
        <w:t>（盖单位章）</w:t>
      </w:r>
      <w:bookmarkEnd w:id="391"/>
    </w:p>
    <w:p>
      <w:pPr>
        <w:ind w:firstLine="1120" w:firstLineChars="400"/>
        <w:jc w:val="left"/>
        <w:outlineLvl w:val="0"/>
        <w:rPr>
          <w:rFonts w:ascii="Times New Roman" w:hAnsi="Times New Roman" w:eastAsia="黑体"/>
          <w:sz w:val="28"/>
        </w:rPr>
      </w:pPr>
      <w:bookmarkStart w:id="392" w:name="_Toc32150"/>
    </w:p>
    <w:p>
      <w:pPr>
        <w:ind w:firstLine="1120" w:firstLineChars="400"/>
        <w:jc w:val="left"/>
        <w:outlineLvl w:val="0"/>
        <w:rPr>
          <w:rFonts w:ascii="Times New Roman" w:hAnsi="Times New Roman" w:eastAsia="黑体"/>
          <w:sz w:val="28"/>
        </w:rPr>
      </w:pPr>
      <w:r>
        <w:rPr>
          <w:rFonts w:ascii="Times New Roman" w:hAnsi="Times New Roman" w:eastAsia="黑体"/>
          <w:sz w:val="28"/>
        </w:rPr>
        <w:t>法定代表人</w:t>
      </w:r>
      <w:r>
        <w:rPr>
          <w:rFonts w:hint="eastAsia" w:ascii="Times New Roman" w:hAnsi="Times New Roman" w:eastAsia="黑体"/>
          <w:sz w:val="28"/>
        </w:rPr>
        <w:t xml:space="preserve"> </w:t>
      </w:r>
      <w:r>
        <w:rPr>
          <w:rFonts w:ascii="Times New Roman" w:hAnsi="Times New Roman" w:eastAsia="黑体"/>
          <w:sz w:val="28"/>
        </w:rPr>
        <w:t>或其委托代理人：</w:t>
      </w:r>
      <w:r>
        <w:rPr>
          <w:rFonts w:ascii="Times New Roman" w:hAnsi="Times New Roman"/>
          <w:u w:val="single"/>
        </w:rPr>
        <w:t xml:space="preserve">       </w:t>
      </w:r>
      <w:r>
        <w:rPr>
          <w:rFonts w:ascii="Times New Roman" w:hAnsi="Times New Roman" w:eastAsia="黑体"/>
          <w:sz w:val="28"/>
        </w:rPr>
        <w:t>（签字）</w:t>
      </w:r>
      <w:bookmarkEnd w:id="392"/>
    </w:p>
    <w:p>
      <w:pPr>
        <w:ind w:firstLine="560"/>
        <w:jc w:val="center"/>
        <w:rPr>
          <w:rFonts w:ascii="Times New Roman" w:hAnsi="Times New Roman" w:eastAsia="黑体"/>
          <w:sz w:val="28"/>
        </w:rPr>
      </w:pPr>
    </w:p>
    <w:p>
      <w:pPr>
        <w:spacing w:line="400" w:lineRule="exact"/>
        <w:ind w:firstLine="480"/>
        <w:jc w:val="center"/>
        <w:outlineLvl w:val="0"/>
        <w:rPr>
          <w:rFonts w:ascii="Times New Roman" w:hAnsi="Times New Roman"/>
        </w:rPr>
      </w:pPr>
      <w:r>
        <w:rPr>
          <w:rFonts w:ascii="Times New Roman" w:hAnsi="Times New Roman"/>
          <w:u w:val="single"/>
        </w:rPr>
        <w:t xml:space="preserve">       </w:t>
      </w:r>
      <w:bookmarkStart w:id="393" w:name="_Toc14633"/>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bookmarkEnd w:id="393"/>
    </w:p>
    <w:p>
      <w:pPr>
        <w:pStyle w:val="5"/>
        <w:ind w:firstLine="562"/>
        <w:rPr>
          <w:rFonts w:ascii="Times New Roman" w:hAnsi="Times New Roman"/>
        </w:rPr>
      </w:pPr>
      <w:bookmarkStart w:id="394" w:name="_Toc28818"/>
      <w:r>
        <w:rPr>
          <w:rFonts w:ascii="Times New Roman" w:hAnsi="Times New Roman"/>
        </w:rPr>
        <w:t>目录</w:t>
      </w:r>
      <w:bookmarkEnd w:id="394"/>
    </w:p>
    <w:p>
      <w:pPr>
        <w:spacing w:line="540" w:lineRule="exact"/>
        <w:ind w:firstLine="480"/>
        <w:rPr>
          <w:rFonts w:ascii="Times New Roman" w:hAnsi="Times New Roman"/>
        </w:rPr>
      </w:pPr>
    </w:p>
    <w:p>
      <w:pPr>
        <w:pStyle w:val="2"/>
        <w:tabs>
          <w:tab w:val="left" w:pos="6521"/>
        </w:tabs>
        <w:kinsoku w:val="0"/>
        <w:overflowPunct w:val="0"/>
        <w:spacing w:after="0"/>
        <w:ind w:firstLine="480"/>
        <w:jc w:val="center"/>
        <w:rPr>
          <w:rFonts w:ascii="宋体" w:hAnsi="宋体" w:cs="宋体"/>
        </w:rPr>
      </w:pPr>
      <w:r>
        <w:rPr>
          <w:rFonts w:hint="eastAsia" w:ascii="宋体" w:hAnsi="宋体" w:cs="宋体"/>
        </w:rPr>
        <w:t>（投标人自拟）</w:t>
      </w:r>
    </w:p>
    <w:p>
      <w:pPr>
        <w:pStyle w:val="2"/>
        <w:ind w:firstLine="480"/>
      </w:pPr>
      <w:bookmarkStart w:id="395" w:name="_Toc7039"/>
      <w:bookmarkStart w:id="396" w:name="_Toc352691655"/>
      <w:bookmarkStart w:id="397" w:name="_Toc369531691"/>
    </w:p>
    <w:p>
      <w:pPr>
        <w:spacing w:line="540" w:lineRule="exact"/>
        <w:ind w:firstLine="480"/>
        <w:rPr>
          <w:rFonts w:ascii="Times New Roman" w:hAnsi="Times New Roman" w:eastAsia="黑体"/>
          <w:sz w:val="20"/>
        </w:rPr>
      </w:pPr>
      <w:r>
        <w:rPr>
          <w:rFonts w:ascii="Times New Roman" w:hAnsi="Times New Roman"/>
        </w:rPr>
        <w:br w:type="page"/>
      </w:r>
    </w:p>
    <w:bookmarkEnd w:id="395"/>
    <w:bookmarkEnd w:id="396"/>
    <w:bookmarkEnd w:id="397"/>
    <w:p>
      <w:pPr>
        <w:pStyle w:val="5"/>
        <w:ind w:firstLine="562"/>
        <w:rPr>
          <w:rFonts w:ascii="Times New Roman" w:hAnsi="Times New Roman"/>
        </w:rPr>
      </w:pPr>
      <w:bookmarkStart w:id="398" w:name="_Toc21082"/>
      <w:r>
        <w:rPr>
          <w:rFonts w:ascii="Times New Roman" w:hAnsi="Times New Roman"/>
        </w:rPr>
        <w:t>一、投标</w:t>
      </w:r>
      <w:bookmarkStart w:id="399" w:name="_Toc352691656"/>
      <w:bookmarkStart w:id="400" w:name="_Toc369531692"/>
      <w:bookmarkStart w:id="401" w:name="_Toc6931"/>
      <w:r>
        <w:rPr>
          <w:rFonts w:ascii="Times New Roman" w:hAnsi="Times New Roman"/>
        </w:rPr>
        <w:t>函</w:t>
      </w:r>
      <w:bookmarkEnd w:id="398"/>
    </w:p>
    <w:bookmarkEnd w:id="399"/>
    <w:bookmarkEnd w:id="400"/>
    <w:bookmarkEnd w:id="401"/>
    <w:p>
      <w:pPr>
        <w:spacing w:line="440" w:lineRule="exact"/>
        <w:ind w:firstLine="480"/>
        <w:rPr>
          <w:rFonts w:ascii="Times New Roman" w:hAnsi="Times New Roman"/>
          <w:szCs w:val="21"/>
        </w:rPr>
      </w:pPr>
      <w:r>
        <w:rPr>
          <w:rFonts w:ascii="Times New Roman" w:hAnsi="Times New Roman"/>
          <w:u w:val="single"/>
        </w:rPr>
        <w:t xml:space="preserve">                  </w:t>
      </w:r>
      <w:r>
        <w:rPr>
          <w:rFonts w:ascii="Times New Roman" w:hAnsi="Times New Roman"/>
          <w:szCs w:val="21"/>
        </w:rPr>
        <w:t>（招标人名称）：</w:t>
      </w:r>
    </w:p>
    <w:p>
      <w:pPr>
        <w:numPr>
          <w:ilvl w:val="0"/>
          <w:numId w:val="2"/>
        </w:numPr>
        <w:spacing w:line="400" w:lineRule="exact"/>
        <w:ind w:firstLine="480"/>
        <w:rPr>
          <w:rFonts w:ascii="Times New Roman" w:hAnsi="Times New Roman"/>
          <w:szCs w:val="21"/>
        </w:rPr>
      </w:pPr>
      <w:r>
        <w:rPr>
          <w:rFonts w:ascii="Times New Roman" w:hAnsi="Times New Roman"/>
          <w:szCs w:val="21"/>
        </w:rPr>
        <w:t>我方已仔细研究了</w:t>
      </w:r>
      <w:r>
        <w:rPr>
          <w:rFonts w:ascii="Times New Roman" w:hAnsi="Times New Roman"/>
          <w:u w:val="single"/>
        </w:rPr>
        <w:t xml:space="preserve">             </w:t>
      </w:r>
      <w:r>
        <w:rPr>
          <w:rFonts w:ascii="Times New Roman" w:hAnsi="Times New Roman"/>
        </w:rPr>
        <w:t>招标项目</w:t>
      </w:r>
      <w:r>
        <w:rPr>
          <w:rFonts w:ascii="Times New Roman" w:hAnsi="Times New Roman"/>
          <w:szCs w:val="21"/>
        </w:rPr>
        <w:t>招标文件的全部内容，愿意以人民币（大写）</w:t>
      </w:r>
      <w:r>
        <w:rPr>
          <w:rFonts w:ascii="Times New Roman" w:hAnsi="Times New Roman"/>
          <w:u w:val="single"/>
        </w:rPr>
        <w:t xml:space="preserve">         </w:t>
      </w:r>
      <w:r>
        <w:rPr>
          <w:rFonts w:ascii="Times New Roman" w:hAnsi="Times New Roman"/>
          <w:szCs w:val="21"/>
        </w:rPr>
        <w:t>（¥</w:t>
      </w:r>
      <w:r>
        <w:rPr>
          <w:rFonts w:ascii="Times New Roman" w:hAnsi="Times New Roman"/>
          <w:u w:val="single"/>
        </w:rPr>
        <w:t xml:space="preserve">       </w:t>
      </w:r>
      <w:r>
        <w:rPr>
          <w:rFonts w:ascii="Times New Roman" w:hAnsi="Times New Roman"/>
          <w:szCs w:val="21"/>
        </w:rPr>
        <w:t>）的投标总报价并按合同约定履行义务。</w:t>
      </w:r>
    </w:p>
    <w:p>
      <w:pPr>
        <w:pStyle w:val="2"/>
        <w:spacing w:line="400" w:lineRule="exact"/>
        <w:ind w:firstLine="0" w:firstLineChars="0"/>
      </w:pPr>
      <w:r>
        <w:rPr>
          <w:rFonts w:hint="eastAsia"/>
        </w:rPr>
        <w:t xml:space="preserve">    交货期为</w:t>
      </w:r>
      <w:r>
        <w:rPr>
          <w:rFonts w:ascii="Times New Roman" w:hAnsi="Times New Roman"/>
          <w:u w:val="single"/>
        </w:rPr>
        <w:t xml:space="preserve">      </w:t>
      </w:r>
      <w:r>
        <w:rPr>
          <w:rFonts w:hint="eastAsia" w:ascii="Times New Roman" w:hAnsi="Times New Roman"/>
        </w:rPr>
        <w:t>日历天。具体交货期限为</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年</w:t>
      </w:r>
      <w:r>
        <w:rPr>
          <w:rFonts w:hint="eastAsia" w:ascii="Times New Roman" w:hAnsi="Times New Roman"/>
          <w:u w:val="single"/>
        </w:rPr>
        <w:t xml:space="preserve">   </w:t>
      </w:r>
      <w:r>
        <w:rPr>
          <w:rFonts w:hint="eastAsia" w:ascii="Times New Roman" w:hAnsi="Times New Roman"/>
        </w:rPr>
        <w:t>月</w:t>
      </w:r>
      <w:r>
        <w:rPr>
          <w:rFonts w:hint="eastAsia" w:ascii="Times New Roman" w:hAnsi="Times New Roman"/>
          <w:u w:val="single"/>
        </w:rPr>
        <w:t xml:space="preserve">   </w:t>
      </w:r>
      <w:r>
        <w:rPr>
          <w:rFonts w:hint="eastAsia" w:ascii="Times New Roman" w:hAnsi="Times New Roman"/>
        </w:rPr>
        <w:t>日之前。</w:t>
      </w:r>
    </w:p>
    <w:p>
      <w:pPr>
        <w:spacing w:line="400" w:lineRule="exact"/>
        <w:ind w:firstLine="480"/>
        <w:rPr>
          <w:rFonts w:ascii="Times New Roman" w:hAnsi="Times New Roman"/>
          <w:szCs w:val="21"/>
        </w:rPr>
      </w:pPr>
      <w:r>
        <w:rPr>
          <w:rFonts w:ascii="Times New Roman" w:hAnsi="Times New Roman"/>
          <w:szCs w:val="21"/>
        </w:rPr>
        <w:t>2. 我方的投标文件包括下列内容：</w:t>
      </w:r>
    </w:p>
    <w:p>
      <w:pPr>
        <w:spacing w:line="400" w:lineRule="exact"/>
        <w:ind w:firstLine="480"/>
        <w:rPr>
          <w:rFonts w:ascii="Times New Roman" w:hAnsi="Times New Roman"/>
        </w:rPr>
      </w:pPr>
      <w:r>
        <w:rPr>
          <w:rFonts w:ascii="Times New Roman" w:hAnsi="Times New Roman"/>
        </w:rPr>
        <w:t>（1）投标函；</w:t>
      </w:r>
    </w:p>
    <w:p>
      <w:pPr>
        <w:spacing w:line="400" w:lineRule="exact"/>
        <w:ind w:firstLine="480"/>
        <w:rPr>
          <w:rFonts w:ascii="Times New Roman" w:hAnsi="Times New Roman"/>
        </w:rPr>
      </w:pPr>
      <w:r>
        <w:rPr>
          <w:rFonts w:ascii="Times New Roman" w:hAnsi="Times New Roman"/>
        </w:rPr>
        <w:t>（2）法定代表人</w:t>
      </w:r>
      <w:r>
        <w:rPr>
          <w:rFonts w:hint="eastAsia" w:ascii="Times New Roman" w:hAnsi="Times New Roman"/>
        </w:rPr>
        <w:t xml:space="preserve"> </w:t>
      </w:r>
      <w:r>
        <w:rPr>
          <w:rFonts w:ascii="Times New Roman" w:hAnsi="Times New Roman"/>
        </w:rPr>
        <w:t>身份证明或授权委托书；</w:t>
      </w:r>
    </w:p>
    <w:p>
      <w:pPr>
        <w:spacing w:line="400" w:lineRule="exact"/>
        <w:ind w:firstLine="480"/>
        <w:rPr>
          <w:rFonts w:ascii="Times New Roman" w:hAnsi="Times New Roman"/>
        </w:rPr>
      </w:pPr>
      <w:r>
        <w:rPr>
          <w:rFonts w:ascii="Times New Roman" w:hAnsi="Times New Roman"/>
        </w:rPr>
        <w:t>（</w:t>
      </w:r>
      <w:r>
        <w:rPr>
          <w:rFonts w:hint="eastAsia" w:ascii="Times New Roman" w:hAnsi="Times New Roman"/>
        </w:rPr>
        <w:t>3</w:t>
      </w:r>
      <w:r>
        <w:rPr>
          <w:rFonts w:ascii="Times New Roman" w:hAnsi="Times New Roman"/>
        </w:rPr>
        <w:t>）投标保证金；</w:t>
      </w:r>
    </w:p>
    <w:p>
      <w:pPr>
        <w:spacing w:line="400" w:lineRule="exact"/>
        <w:ind w:firstLine="480"/>
        <w:rPr>
          <w:rFonts w:ascii="Times New Roman" w:hAnsi="Times New Roman"/>
        </w:rPr>
      </w:pPr>
      <w:r>
        <w:rPr>
          <w:rFonts w:ascii="Times New Roman" w:hAnsi="Times New Roman"/>
        </w:rPr>
        <w:t>（</w:t>
      </w:r>
      <w:r>
        <w:rPr>
          <w:rFonts w:hint="eastAsia" w:ascii="Times New Roman" w:hAnsi="Times New Roman"/>
        </w:rPr>
        <w:t>4</w:t>
      </w:r>
      <w:r>
        <w:rPr>
          <w:rFonts w:ascii="Times New Roman" w:hAnsi="Times New Roman"/>
        </w:rPr>
        <w:t>）资格审查资料；</w:t>
      </w:r>
    </w:p>
    <w:p>
      <w:pPr>
        <w:spacing w:line="400" w:lineRule="exact"/>
        <w:ind w:firstLine="480"/>
        <w:rPr>
          <w:rFonts w:ascii="Times New Roman" w:hAnsi="Times New Roman"/>
        </w:rPr>
      </w:pPr>
      <w:r>
        <w:rPr>
          <w:rFonts w:ascii="Times New Roman" w:hAnsi="Times New Roman"/>
        </w:rPr>
        <w:t>（</w:t>
      </w:r>
      <w:r>
        <w:rPr>
          <w:rFonts w:hint="eastAsia" w:ascii="Times New Roman" w:hAnsi="Times New Roman"/>
        </w:rPr>
        <w:t>5</w:t>
      </w:r>
      <w:r>
        <w:rPr>
          <w:rFonts w:ascii="Times New Roman" w:hAnsi="Times New Roman"/>
        </w:rPr>
        <w:t>）</w:t>
      </w:r>
      <w:r>
        <w:rPr>
          <w:rFonts w:hint="eastAsia" w:ascii="Times New Roman" w:hAnsi="Times New Roman"/>
        </w:rPr>
        <w:t>其他资料</w:t>
      </w:r>
      <w:r>
        <w:rPr>
          <w:rFonts w:ascii="Times New Roman" w:hAnsi="Times New Roman"/>
        </w:rPr>
        <w:t>；</w:t>
      </w:r>
    </w:p>
    <w:p>
      <w:pPr>
        <w:spacing w:line="440" w:lineRule="exact"/>
        <w:ind w:firstLine="480"/>
        <w:rPr>
          <w:rFonts w:ascii="Times New Roman" w:hAnsi="Times New Roman"/>
          <w:szCs w:val="21"/>
        </w:rPr>
      </w:pPr>
      <w:r>
        <w:rPr>
          <w:rFonts w:ascii="Times New Roman" w:hAnsi="Times New Roman"/>
          <w:szCs w:val="21"/>
        </w:rPr>
        <w:t>投标文件的上述组成部分如存在内容不一致的，以投标函为准。</w:t>
      </w:r>
    </w:p>
    <w:p>
      <w:pPr>
        <w:spacing w:line="440" w:lineRule="exact"/>
        <w:ind w:firstLine="480"/>
        <w:rPr>
          <w:rFonts w:ascii="Times New Roman" w:hAnsi="Times New Roman"/>
          <w:szCs w:val="21"/>
        </w:rPr>
      </w:pPr>
      <w:r>
        <w:rPr>
          <w:rFonts w:ascii="Times New Roman" w:hAnsi="Times New Roman"/>
          <w:szCs w:val="21"/>
        </w:rPr>
        <w:t>3．我方承诺除</w:t>
      </w:r>
      <w:r>
        <w:rPr>
          <w:rFonts w:ascii="Times New Roman" w:hAnsi="Times New Roman"/>
          <w:sz w:val="22"/>
        </w:rPr>
        <w:t>商务和技术</w:t>
      </w:r>
      <w:r>
        <w:rPr>
          <w:rFonts w:ascii="Times New Roman" w:hAnsi="Times New Roman"/>
          <w:szCs w:val="21"/>
        </w:rPr>
        <w:t>偏差表列出的偏差外，我方响应招标文件的全部要求。</w:t>
      </w:r>
    </w:p>
    <w:p>
      <w:pPr>
        <w:spacing w:line="440" w:lineRule="exact"/>
        <w:ind w:firstLine="480"/>
        <w:rPr>
          <w:rFonts w:ascii="Times New Roman" w:hAnsi="Times New Roman"/>
          <w:szCs w:val="21"/>
        </w:rPr>
      </w:pPr>
      <w:r>
        <w:rPr>
          <w:rFonts w:ascii="Times New Roman" w:hAnsi="Times New Roman"/>
          <w:szCs w:val="21"/>
        </w:rPr>
        <w:t>4．我方承诺在招标文件规定的投标有效期内不撤销投标文件。</w:t>
      </w:r>
    </w:p>
    <w:p>
      <w:pPr>
        <w:spacing w:line="440" w:lineRule="exact"/>
        <w:ind w:firstLine="480"/>
        <w:rPr>
          <w:rFonts w:ascii="Times New Roman" w:hAnsi="Times New Roman"/>
          <w:szCs w:val="21"/>
        </w:rPr>
      </w:pPr>
      <w:r>
        <w:rPr>
          <w:rFonts w:ascii="Times New Roman" w:hAnsi="Times New Roman"/>
          <w:szCs w:val="21"/>
        </w:rPr>
        <w:t>5．如我方中标，我方承诺：</w:t>
      </w:r>
    </w:p>
    <w:p>
      <w:pPr>
        <w:spacing w:line="440" w:lineRule="exact"/>
        <w:ind w:left="1080" w:leftChars="400" w:hanging="120" w:hangingChars="50"/>
        <w:rPr>
          <w:rFonts w:ascii="Times New Roman" w:hAnsi="Times New Roman"/>
          <w:szCs w:val="21"/>
        </w:rPr>
      </w:pPr>
      <w:r>
        <w:rPr>
          <w:rFonts w:ascii="Times New Roman" w:hAnsi="Times New Roman"/>
          <w:szCs w:val="21"/>
        </w:rPr>
        <w:t>（1）在收到中标通知书后，在中标通知书规定的期限内与你方签订合同；</w:t>
      </w:r>
    </w:p>
    <w:p>
      <w:pPr>
        <w:spacing w:line="440" w:lineRule="exact"/>
        <w:ind w:left="1080" w:leftChars="400" w:hanging="120" w:hangingChars="50"/>
        <w:rPr>
          <w:rFonts w:ascii="Times New Roman" w:hAnsi="Times New Roman"/>
          <w:szCs w:val="21"/>
        </w:rPr>
      </w:pPr>
      <w:r>
        <w:rPr>
          <w:rFonts w:ascii="Times New Roman" w:hAnsi="Times New Roman"/>
          <w:szCs w:val="21"/>
        </w:rPr>
        <w:t>（2）在签订合同时不向你方提出附加条件；</w:t>
      </w:r>
    </w:p>
    <w:p>
      <w:pPr>
        <w:spacing w:line="440" w:lineRule="exact"/>
        <w:ind w:left="1080" w:leftChars="400" w:hanging="120" w:hangingChars="50"/>
        <w:rPr>
          <w:rFonts w:ascii="Times New Roman" w:hAnsi="Times New Roman"/>
          <w:szCs w:val="21"/>
        </w:rPr>
      </w:pPr>
      <w:r>
        <w:rPr>
          <w:rFonts w:ascii="Times New Roman" w:hAnsi="Times New Roman"/>
          <w:szCs w:val="21"/>
        </w:rPr>
        <w:t>（3）按照招标文件要求提交履约保证金；</w:t>
      </w:r>
      <w:bookmarkStart w:id="402" w:name="_Toc369531694"/>
      <w:bookmarkStart w:id="403" w:name="_Toc352691658"/>
      <w:bookmarkStart w:id="404" w:name="_Toc1187"/>
    </w:p>
    <w:p>
      <w:pPr>
        <w:spacing w:line="440" w:lineRule="exact"/>
        <w:ind w:left="1080" w:leftChars="400" w:hanging="120" w:hangingChars="50"/>
        <w:rPr>
          <w:rFonts w:ascii="Times New Roman" w:hAnsi="Times New Roman"/>
          <w:szCs w:val="21"/>
        </w:rPr>
      </w:pPr>
      <w:r>
        <w:rPr>
          <w:rFonts w:ascii="Times New Roman" w:hAnsi="Times New Roman"/>
          <w:szCs w:val="21"/>
        </w:rPr>
        <w:t>（4）在合</w:t>
      </w:r>
      <w:bookmarkEnd w:id="402"/>
      <w:bookmarkEnd w:id="403"/>
      <w:bookmarkEnd w:id="404"/>
      <w:r>
        <w:rPr>
          <w:rFonts w:ascii="Times New Roman" w:hAnsi="Times New Roman"/>
          <w:szCs w:val="21"/>
        </w:rPr>
        <w:t>同约定的期限内完成合同规定的全部义务。</w:t>
      </w:r>
    </w:p>
    <w:p>
      <w:pPr>
        <w:spacing w:line="440" w:lineRule="exact"/>
        <w:ind w:firstLine="480"/>
        <w:rPr>
          <w:rFonts w:ascii="Times New Roman" w:hAnsi="Times New Roman"/>
          <w:szCs w:val="21"/>
        </w:rPr>
      </w:pPr>
      <w:r>
        <w:rPr>
          <w:rFonts w:ascii="Times New Roman" w:hAnsi="Times New Roman"/>
          <w:szCs w:val="21"/>
        </w:rPr>
        <w:t>6．</w:t>
      </w:r>
      <w:r>
        <w:rPr>
          <w:rFonts w:ascii="Times New Roman" w:hAnsi="Times New Roman"/>
        </w:rPr>
        <w:t>我方在此声明，所递交的投标文件及有关资料内容完整、真实和准确，且不存在第二章“投标人须知”第1.4.3项规定的任何一种情形。</w:t>
      </w:r>
    </w:p>
    <w:p>
      <w:pPr>
        <w:spacing w:line="440" w:lineRule="exact"/>
        <w:ind w:firstLine="480"/>
        <w:rPr>
          <w:rFonts w:ascii="Times New Roman" w:hAnsi="Times New Roman"/>
          <w:szCs w:val="21"/>
        </w:rPr>
      </w:pPr>
      <w:r>
        <w:rPr>
          <w:rFonts w:ascii="Times New Roman" w:hAnsi="Times New Roman"/>
          <w:szCs w:val="21"/>
        </w:rPr>
        <w:t>7．</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（其他补充说明）。</w:t>
      </w:r>
    </w:p>
    <w:p>
      <w:pPr>
        <w:spacing w:line="440" w:lineRule="exact"/>
        <w:ind w:firstLine="480"/>
        <w:rPr>
          <w:rFonts w:ascii="Times New Roman" w:hAnsi="Times New Roman"/>
          <w:szCs w:val="21"/>
        </w:rPr>
      </w:pPr>
      <w:r>
        <w:rPr>
          <w:rFonts w:hint="eastAsia" w:ascii="Times New Roman" w:hAnsi="Times New Roman"/>
          <w:szCs w:val="21"/>
        </w:rPr>
        <w:t xml:space="preserve">    </w:t>
      </w:r>
    </w:p>
    <w:p>
      <w:pPr>
        <w:spacing w:line="440" w:lineRule="exact"/>
        <w:ind w:firstLine="0" w:firstLineChars="0"/>
        <w:jc w:val="left"/>
        <w:rPr>
          <w:rFonts w:ascii="Times New Roman" w:hAnsi="Times New Roman"/>
          <w:szCs w:val="21"/>
        </w:rPr>
      </w:pPr>
      <w:r>
        <w:rPr>
          <w:rFonts w:hint="eastAsia" w:ascii="Times New Roman" w:hAnsi="Times New Roman"/>
          <w:szCs w:val="21"/>
        </w:rPr>
        <w:t xml:space="preserve">                </w:t>
      </w:r>
      <w:bookmarkEnd w:id="366"/>
      <w:bookmarkEnd w:id="367"/>
      <w:bookmarkEnd w:id="368"/>
      <w:bookmarkEnd w:id="369"/>
      <w:bookmarkEnd w:id="370"/>
      <w:bookmarkEnd w:id="371"/>
      <w:bookmarkEnd w:id="372"/>
      <w:bookmarkEnd w:id="379"/>
      <w:bookmarkEnd w:id="380"/>
      <w:bookmarkStart w:id="405" w:name="_Toc16568"/>
      <w:bookmarkEnd w:id="405"/>
      <w:bookmarkStart w:id="406" w:name="_Toc352691660"/>
      <w:bookmarkEnd w:id="406"/>
      <w:bookmarkStart w:id="407" w:name="_Toc352691659"/>
      <w:bookmarkEnd w:id="407"/>
      <w:bookmarkStart w:id="408" w:name="_Toc369531696"/>
      <w:bookmarkEnd w:id="408"/>
      <w:bookmarkStart w:id="409" w:name="_Toc369531695"/>
      <w:bookmarkEnd w:id="409"/>
      <w:bookmarkStart w:id="410" w:name="_Toc16824"/>
      <w:bookmarkEnd w:id="410"/>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440" w:lineRule="exact"/>
        <w:ind w:firstLine="480"/>
        <w:jc w:val="left"/>
        <w:rPr>
          <w:rFonts w:ascii="Times New Roman" w:hAnsi="Times New Roman"/>
          <w:szCs w:val="21"/>
        </w:rPr>
      </w:pPr>
      <w:r>
        <w:rPr>
          <w:rFonts w:ascii="Times New Roman" w:hAnsi="Times New Roman"/>
        </w:rPr>
        <w:t xml:space="preserve">           </w:t>
      </w:r>
      <w:r>
        <w:rPr>
          <w:rFonts w:hint="eastAsia" w:ascii="Times New Roman" w:hAnsi="Times New Roman"/>
        </w:rPr>
        <w:t xml:space="preserve"> </w:t>
      </w:r>
      <w:r>
        <w:rPr>
          <w:rFonts w:ascii="Times New Roman" w:hAnsi="Times New Roman"/>
        </w:rPr>
        <w:t>法定代表人</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（签字）</w:t>
      </w:r>
    </w:p>
    <w:p>
      <w:pPr>
        <w:spacing w:line="440" w:lineRule="exact"/>
        <w:ind w:firstLine="1920" w:firstLineChars="800"/>
        <w:jc w:val="lef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1920" w:firstLineChars="800"/>
        <w:jc w:val="left"/>
        <w:rPr>
          <w:rFonts w:ascii="Times New Roman" w:hAnsi="Times New Roman"/>
          <w:szCs w:val="21"/>
        </w:rPr>
      </w:pPr>
      <w:r>
        <w:rPr>
          <w:rFonts w:ascii="Times New Roman" w:hAnsi="Times New Roman"/>
          <w:szCs w:val="21"/>
        </w:rPr>
        <w:t>网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880" w:firstLineChars="1200"/>
        <w:jc w:val="left"/>
        <w:rPr>
          <w:rFonts w:ascii="Times New Roman" w:hAnsi="Times New Roman"/>
          <w:szCs w:val="21"/>
        </w:rPr>
      </w:pPr>
      <w:r>
        <w:rPr>
          <w:rFonts w:ascii="Times New Roman" w:hAnsi="Times New Roman"/>
          <w:szCs w:val="21"/>
        </w:rPr>
        <w:t>电    话：</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880" w:firstLineChars="1200"/>
        <w:jc w:val="left"/>
        <w:rPr>
          <w:rFonts w:ascii="Times New Roman" w:hAnsi="Times New Roman"/>
          <w:szCs w:val="21"/>
        </w:rPr>
      </w:pPr>
      <w:r>
        <w:rPr>
          <w:rFonts w:ascii="Times New Roman" w:hAnsi="Times New Roman"/>
          <w:szCs w:val="21"/>
        </w:rPr>
        <w:t>传    真：</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880" w:firstLineChars="1200"/>
        <w:jc w:val="left"/>
        <w:rPr>
          <w:rFonts w:ascii="Times New Roman" w:hAnsi="Times New Roman"/>
          <w:szCs w:val="21"/>
        </w:rPr>
      </w:pPr>
      <w:r>
        <w:rPr>
          <w:rFonts w:ascii="Times New Roman" w:hAnsi="Times New Roman"/>
          <w:szCs w:val="21"/>
        </w:rPr>
        <w:t>邮政编码：</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5400" w:firstLineChars="2250"/>
        <w:jc w:val="right"/>
        <w:rPr>
          <w:rFonts w:ascii="Times New Roman" w:hAnsi="Times New Roman"/>
          <w:szCs w:val="21"/>
        </w:rPr>
      </w:pPr>
      <w:r>
        <w:rPr>
          <w:rFonts w:ascii="Times New Roman" w:hAnsi="Times New Roman"/>
          <w:u w:val="single"/>
        </w:rPr>
        <w:t xml:space="preserve">      </w:t>
      </w:r>
      <w:r>
        <w:rPr>
          <w:rFonts w:ascii="Times New Roman" w:hAnsi="Times New Roman"/>
          <w:szCs w:val="21"/>
        </w:rPr>
        <w:t>年</w:t>
      </w:r>
      <w:r>
        <w:rPr>
          <w:rFonts w:ascii="Times New Roman" w:hAnsi="Times New Roman"/>
          <w:u w:val="single"/>
        </w:rPr>
        <w:t xml:space="preserve">      </w:t>
      </w:r>
      <w:r>
        <w:rPr>
          <w:rFonts w:ascii="Times New Roman" w:hAnsi="Times New Roman"/>
          <w:szCs w:val="21"/>
        </w:rPr>
        <w:t>月</w:t>
      </w:r>
      <w:r>
        <w:rPr>
          <w:rFonts w:ascii="Times New Roman" w:hAnsi="Times New Roman"/>
          <w:u w:val="single"/>
        </w:rPr>
        <w:t xml:space="preserve">      </w:t>
      </w:r>
      <w:r>
        <w:rPr>
          <w:rFonts w:ascii="Times New Roman" w:hAnsi="Times New Roman"/>
          <w:szCs w:val="21"/>
        </w:rPr>
        <w:t>日</w:t>
      </w:r>
    </w:p>
    <w:p>
      <w:pPr>
        <w:spacing w:line="440" w:lineRule="exact"/>
        <w:ind w:firstLine="480"/>
        <w:rPr>
          <w:rFonts w:ascii="Times New Roman" w:hAnsi="Times New Roman"/>
          <w:szCs w:val="21"/>
        </w:rPr>
      </w:pPr>
    </w:p>
    <w:p>
      <w:pPr>
        <w:spacing w:line="440" w:lineRule="exact"/>
        <w:ind w:firstLine="480"/>
        <w:rPr>
          <w:rFonts w:ascii="Times New Roman" w:hAnsi="Times New Roman"/>
          <w:szCs w:val="21"/>
        </w:rPr>
      </w:pPr>
    </w:p>
    <w:p>
      <w:pPr>
        <w:spacing w:line="440" w:lineRule="exact"/>
        <w:ind w:firstLine="400"/>
        <w:rPr>
          <w:rFonts w:ascii="Times New Roman" w:hAnsi="Times New Roman" w:eastAsia="黑体"/>
          <w:sz w:val="20"/>
        </w:rPr>
      </w:pPr>
      <w:bookmarkStart w:id="411" w:name="_Toc17960"/>
      <w:bookmarkStart w:id="412" w:name="_Toc384308375"/>
      <w:bookmarkStart w:id="413" w:name="_Toc352691661"/>
      <w:bookmarkStart w:id="414" w:name="_Toc144974856"/>
      <w:bookmarkStart w:id="415" w:name="_Toc247527827"/>
      <w:bookmarkStart w:id="416" w:name="_Toc369531697"/>
      <w:bookmarkStart w:id="417" w:name="_Toc300835209"/>
      <w:bookmarkStart w:id="418" w:name="_Toc152045787"/>
      <w:bookmarkStart w:id="419" w:name="_Toc361508752"/>
      <w:bookmarkStart w:id="420" w:name="_Toc247514246"/>
      <w:bookmarkStart w:id="421" w:name="_Toc152042576"/>
    </w:p>
    <w:p>
      <w:pPr>
        <w:spacing w:line="440" w:lineRule="exact"/>
        <w:ind w:firstLine="480"/>
        <w:rPr>
          <w:rFonts w:ascii="Times New Roman" w:hAnsi="Times New Roman" w:eastAsia="黑体"/>
          <w:sz w:val="20"/>
        </w:rPr>
      </w:pPr>
      <w:r>
        <w:rPr>
          <w:rFonts w:ascii="Times New Roman" w:hAnsi="Times New Roman"/>
          <w:szCs w:val="21"/>
        </w:rPr>
        <w:br w:type="page"/>
      </w:r>
    </w:p>
    <w:p>
      <w:pPr>
        <w:pStyle w:val="5"/>
        <w:ind w:firstLine="562"/>
        <w:rPr>
          <w:rFonts w:ascii="Times New Roman" w:hAnsi="Times New Roman"/>
        </w:rPr>
      </w:pPr>
      <w:bookmarkStart w:id="422" w:name="_Toc181"/>
      <w:r>
        <w:rPr>
          <w:rFonts w:ascii="Times New Roman" w:hAnsi="Times New Roman"/>
        </w:rPr>
        <w:t>二</w:t>
      </w:r>
      <w:bookmarkEnd w:id="411"/>
      <w:bookmarkEnd w:id="412"/>
      <w:bookmarkEnd w:id="413"/>
      <w:bookmarkEnd w:id="414"/>
      <w:bookmarkEnd w:id="415"/>
      <w:bookmarkEnd w:id="416"/>
      <w:bookmarkEnd w:id="417"/>
      <w:bookmarkEnd w:id="418"/>
      <w:bookmarkEnd w:id="419"/>
      <w:bookmarkEnd w:id="420"/>
      <w:bookmarkEnd w:id="421"/>
      <w:r>
        <w:rPr>
          <w:rFonts w:ascii="Times New Roman" w:hAnsi="Times New Roman"/>
        </w:rPr>
        <w:t>、法定代表人身份证明</w:t>
      </w:r>
      <w:bookmarkEnd w:id="422"/>
    </w:p>
    <w:p>
      <w:pPr>
        <w:spacing w:line="440" w:lineRule="exact"/>
        <w:ind w:firstLine="400"/>
        <w:rPr>
          <w:rFonts w:ascii="Times New Roman" w:hAnsi="Times New Roman"/>
          <w:sz w:val="20"/>
        </w:rPr>
      </w:pPr>
    </w:p>
    <w:p>
      <w:pPr>
        <w:spacing w:line="440" w:lineRule="exact"/>
        <w:ind w:firstLine="480"/>
        <w:rPr>
          <w:rFonts w:ascii="Times New Roman" w:hAnsi="Times New Roman"/>
        </w:rPr>
      </w:pPr>
    </w:p>
    <w:p>
      <w:pPr>
        <w:spacing w:line="440" w:lineRule="exact"/>
        <w:ind w:firstLine="480"/>
        <w:rPr>
          <w:rFonts w:ascii="Times New Roman" w:hAnsi="Times New Roman"/>
        </w:rPr>
      </w:pPr>
      <w:r>
        <w:rPr>
          <w:rFonts w:ascii="Times New Roman" w:hAnsi="Times New Roman"/>
        </w:rPr>
        <w:t>投标人名称：</w:t>
      </w:r>
      <w:r>
        <w:rPr>
          <w:rFonts w:ascii="Times New Roman" w:hAnsi="Times New Roman"/>
          <w:u w:val="single"/>
        </w:rPr>
        <w:t xml:space="preserve">                        </w:t>
      </w:r>
    </w:p>
    <w:p>
      <w:pPr>
        <w:spacing w:line="440" w:lineRule="exact"/>
        <w:ind w:firstLine="480"/>
        <w:rPr>
          <w:rFonts w:ascii="Times New Roman" w:hAnsi="Times New Roman"/>
        </w:rPr>
      </w:pPr>
      <w:r>
        <w:rPr>
          <w:rFonts w:ascii="Times New Roman" w:hAnsi="Times New Roman"/>
        </w:rPr>
        <w:t>姓名：</w:t>
      </w:r>
      <w:r>
        <w:rPr>
          <w:rFonts w:ascii="Times New Roman" w:hAnsi="Times New Roman"/>
          <w:u w:val="single"/>
        </w:rPr>
        <w:t xml:space="preserve">                </w:t>
      </w:r>
      <w:r>
        <w:rPr>
          <w:rFonts w:ascii="Times New Roman" w:hAnsi="Times New Roman"/>
        </w:rPr>
        <w:t>性别：</w:t>
      </w:r>
      <w:bookmarkStart w:id="423" w:name="_Toc369531698"/>
      <w:bookmarkStart w:id="424" w:name="_Toc27897"/>
      <w:bookmarkStart w:id="425" w:name="_Toc352691662"/>
      <w:r>
        <w:rPr>
          <w:rFonts w:ascii="Times New Roman" w:hAnsi="Times New Roman"/>
          <w:u w:val="single"/>
        </w:rPr>
        <w:t xml:space="preserve">        </w:t>
      </w:r>
      <w:r>
        <w:rPr>
          <w:rFonts w:ascii="Times New Roman" w:hAnsi="Times New Roman"/>
        </w:rPr>
        <w:t>年</w:t>
      </w:r>
      <w:bookmarkEnd w:id="423"/>
      <w:bookmarkEnd w:id="424"/>
      <w:bookmarkEnd w:id="425"/>
      <w:r>
        <w:rPr>
          <w:rFonts w:ascii="Times New Roman" w:hAnsi="Times New Roman"/>
        </w:rPr>
        <w:t>龄</w:t>
      </w:r>
      <w:bookmarkStart w:id="426" w:name="_Toc300835211"/>
      <w:bookmarkStart w:id="427" w:name="_Toc247527829"/>
      <w:bookmarkStart w:id="428" w:name="_Toc361508754"/>
      <w:bookmarkStart w:id="429" w:name="_Toc144974858"/>
      <w:bookmarkStart w:id="430" w:name="_Toc152045789"/>
      <w:bookmarkStart w:id="431" w:name="_Toc152042578"/>
      <w:bookmarkStart w:id="432" w:name="_Toc15573"/>
      <w:bookmarkStart w:id="433" w:name="_Toc247514248"/>
      <w:bookmarkStart w:id="434" w:name="_Toc352691663"/>
      <w:bookmarkStart w:id="435" w:name="_Toc369531699"/>
      <w:bookmarkStart w:id="436" w:name="_Toc384308377"/>
      <w:r>
        <w:rPr>
          <w:rFonts w:ascii="Times New Roman" w:hAnsi="Times New Roman"/>
        </w:rPr>
        <w:t>：</w:t>
      </w:r>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u w:val="single"/>
        </w:rPr>
        <w:t xml:space="preserve">        </w:t>
      </w:r>
      <w:r>
        <w:rPr>
          <w:rFonts w:ascii="Times New Roman" w:hAnsi="Times New Roman"/>
        </w:rPr>
        <w:t>职务：</w:t>
      </w:r>
      <w:r>
        <w:rPr>
          <w:rFonts w:ascii="Times New Roman" w:hAnsi="Times New Roman"/>
          <w:u w:val="single"/>
        </w:rPr>
        <w:t xml:space="preserve">        </w:t>
      </w:r>
    </w:p>
    <w:p>
      <w:pPr>
        <w:spacing w:line="440" w:lineRule="exact"/>
        <w:ind w:firstLine="480"/>
        <w:rPr>
          <w:rFonts w:ascii="Times New Roman" w:hAnsi="Times New Roman"/>
        </w:rPr>
      </w:pPr>
      <w:r>
        <w:rPr>
          <w:rFonts w:ascii="Times New Roman" w:hAnsi="Times New Roman"/>
        </w:rPr>
        <w:t>系</w:t>
      </w:r>
      <w:r>
        <w:rPr>
          <w:rFonts w:ascii="Times New Roman" w:hAnsi="Times New Roman"/>
          <w:u w:val="single"/>
        </w:rPr>
        <w:t xml:space="preserve">                        </w:t>
      </w:r>
      <w:r>
        <w:rPr>
          <w:rFonts w:ascii="Times New Roman" w:hAnsi="Times New Roman"/>
        </w:rPr>
        <w:t>（投标人名称）的法定代表人</w:t>
      </w:r>
      <w:r>
        <w:rPr>
          <w:rFonts w:hint="eastAsia" w:ascii="Times New Roman" w:hAnsi="Times New Roman"/>
        </w:rPr>
        <w:t xml:space="preserve"> </w:t>
      </w:r>
      <w:r>
        <w:rPr>
          <w:rFonts w:ascii="Times New Roman" w:hAnsi="Times New Roman"/>
        </w:rPr>
        <w:t>。</w:t>
      </w:r>
    </w:p>
    <w:p>
      <w:pPr>
        <w:spacing w:line="440" w:lineRule="exact"/>
        <w:ind w:firstLine="480"/>
        <w:rPr>
          <w:rFonts w:ascii="Times New Roman" w:hAnsi="Times New Roman"/>
        </w:rPr>
      </w:pPr>
      <w:r>
        <w:rPr>
          <w:rFonts w:ascii="Times New Roman" w:hAnsi="Times New Roman"/>
        </w:rPr>
        <w:t>特此证明。</w:t>
      </w:r>
    </w:p>
    <w:p>
      <w:pPr>
        <w:spacing w:line="440" w:lineRule="exact"/>
        <w:ind w:firstLine="480"/>
        <w:rPr>
          <w:rFonts w:ascii="Times New Roman" w:hAnsi="Times New Roman"/>
        </w:rPr>
      </w:pPr>
    </w:p>
    <w:p>
      <w:pPr>
        <w:spacing w:line="440" w:lineRule="exact"/>
        <w:ind w:firstLine="480"/>
        <w:rPr>
          <w:rFonts w:ascii="Times New Roman" w:hAnsi="Times New Roman"/>
        </w:rPr>
      </w:pPr>
      <w:r>
        <w:rPr>
          <w:rFonts w:ascii="Times New Roman" w:hAnsi="Times New Roman"/>
        </w:rPr>
        <w:t>附：法定代表人</w:t>
      </w:r>
      <w:r>
        <w:rPr>
          <w:rFonts w:hint="eastAsia" w:ascii="Times New Roman" w:hAnsi="Times New Roman"/>
        </w:rPr>
        <w:t xml:space="preserve"> </w:t>
      </w:r>
      <w:r>
        <w:rPr>
          <w:rFonts w:ascii="Times New Roman" w:hAnsi="Times New Roman"/>
        </w:rPr>
        <w:t>身份证复印件。</w:t>
      </w:r>
    </w:p>
    <w:p>
      <w:pPr>
        <w:spacing w:line="440" w:lineRule="exact"/>
        <w:ind w:firstLine="480"/>
        <w:rPr>
          <w:rFonts w:ascii="Times New Roman" w:hAnsi="Times New Roman"/>
        </w:rPr>
      </w:pPr>
    </w:p>
    <w:p>
      <w:pPr>
        <w:spacing w:line="440" w:lineRule="exact"/>
        <w:ind w:firstLine="480"/>
        <w:rPr>
          <w:rFonts w:ascii="Times New Roman" w:hAnsi="Times New Roman"/>
        </w:rPr>
      </w:pPr>
      <w:r>
        <w:rPr>
          <w:rFonts w:ascii="Times New Roman" w:hAnsi="Times New Roman"/>
        </w:rPr>
        <w:t>注：本身份证明需由投标人加盖单位公章。</w:t>
      </w:r>
    </w:p>
    <w:p>
      <w:pPr>
        <w:spacing w:line="440" w:lineRule="exact"/>
        <w:ind w:firstLine="480"/>
        <w:rPr>
          <w:rFonts w:ascii="Times New Roman" w:hAnsi="Times New Roman"/>
        </w:rPr>
      </w:pPr>
    </w:p>
    <w:p>
      <w:pPr>
        <w:spacing w:line="440" w:lineRule="exact"/>
        <w:ind w:firstLine="480"/>
        <w:rPr>
          <w:rFonts w:ascii="Times New Roman" w:hAnsi="Times New Roman"/>
        </w:rPr>
      </w:pPr>
    </w:p>
    <w:p>
      <w:pPr>
        <w:spacing w:line="440" w:lineRule="exact"/>
        <w:ind w:firstLine="480"/>
        <w:jc w:val="center"/>
        <w:rPr>
          <w:rFonts w:ascii="Times New Roman" w:hAnsi="Times New Roman"/>
        </w:rPr>
      </w:pPr>
      <w:r>
        <w:rPr>
          <w:rFonts w:ascii="Times New Roman" w:hAnsi="Times New Roman"/>
        </w:rPr>
        <w:t xml:space="preserve">                              投标人：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rPr>
        <w:t>（单位公章）</w:t>
      </w:r>
    </w:p>
    <w:p>
      <w:pPr>
        <w:spacing w:line="440" w:lineRule="exact"/>
        <w:ind w:firstLine="480"/>
        <w:rPr>
          <w:rFonts w:ascii="Times New Roman" w:hAnsi="Times New Roman"/>
        </w:rPr>
      </w:pPr>
    </w:p>
    <w:p>
      <w:pPr>
        <w:spacing w:line="440" w:lineRule="exact"/>
        <w:ind w:firstLine="5280" w:firstLineChars="2200"/>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ind w:firstLine="400"/>
        <w:rPr>
          <w:rFonts w:ascii="Times New Roman" w:hAnsi="Times New Roman" w:eastAsia="黑体"/>
          <w:sz w:val="20"/>
        </w:rPr>
      </w:pPr>
    </w:p>
    <w:p>
      <w:pPr>
        <w:spacing w:line="440" w:lineRule="exact"/>
        <w:ind w:firstLine="400"/>
        <w:jc w:val="center"/>
        <w:rPr>
          <w:rFonts w:ascii="Times New Roman" w:hAnsi="Times New Roman" w:eastAsia="黑体"/>
          <w:sz w:val="20"/>
        </w:rPr>
      </w:pPr>
      <w:r>
        <w:rPr>
          <w:rFonts w:ascii="Times New Roman" w:hAnsi="Times New Roman" w:eastAsia="黑体"/>
          <w:sz w:val="20"/>
        </w:rPr>
        <w:br w:type="page"/>
      </w:r>
    </w:p>
    <w:p>
      <w:pPr>
        <w:pStyle w:val="5"/>
        <w:ind w:firstLine="562"/>
        <w:rPr>
          <w:rFonts w:ascii="Times New Roman" w:hAnsi="Times New Roman"/>
        </w:rPr>
      </w:pPr>
      <w:bookmarkStart w:id="437" w:name="_Toc4349"/>
      <w:r>
        <w:rPr>
          <w:rFonts w:ascii="Times New Roman" w:hAnsi="Times New Roman"/>
        </w:rPr>
        <w:t>二、授权委托书</w:t>
      </w:r>
      <w:bookmarkEnd w:id="437"/>
    </w:p>
    <w:p>
      <w:pPr>
        <w:spacing w:line="440" w:lineRule="exact"/>
        <w:ind w:firstLine="480"/>
        <w:rPr>
          <w:rFonts w:ascii="Times New Roman" w:hAnsi="Times New Roman" w:eastAsia="黑体"/>
        </w:rPr>
      </w:pPr>
    </w:p>
    <w:p>
      <w:pPr>
        <w:topLinePunct/>
        <w:spacing w:line="440" w:lineRule="exact"/>
        <w:ind w:firstLine="480"/>
        <w:rPr>
          <w:rFonts w:ascii="Times New Roman" w:hAnsi="Times New Roman"/>
        </w:rPr>
      </w:pPr>
      <w:r>
        <w:rPr>
          <w:rFonts w:ascii="Times New Roman" w:hAnsi="Times New Roman"/>
        </w:rPr>
        <w:t>本人</w:t>
      </w:r>
      <w:r>
        <w:rPr>
          <w:rFonts w:ascii="Times New Roman" w:hAnsi="Times New Roman"/>
          <w:u w:val="single"/>
        </w:rPr>
        <w:t xml:space="preserve">              </w:t>
      </w:r>
      <w:r>
        <w:rPr>
          <w:rFonts w:ascii="Times New Roman" w:hAnsi="Times New Roman"/>
        </w:rPr>
        <w:t>（姓名）系</w:t>
      </w:r>
      <w:r>
        <w:rPr>
          <w:rFonts w:ascii="Times New Roman" w:hAnsi="Times New Roman"/>
          <w:u w:val="single"/>
        </w:rPr>
        <w:t xml:space="preserve">                    </w:t>
      </w:r>
      <w:r>
        <w:rPr>
          <w:rFonts w:ascii="Times New Roman" w:hAnsi="Times New Roman"/>
        </w:rPr>
        <w:t>（投标人名称）的法定代表人</w:t>
      </w:r>
      <w:r>
        <w:rPr>
          <w:rFonts w:hint="eastAsia" w:ascii="Times New Roman" w:hAnsi="Times New Roman"/>
        </w:rPr>
        <w:t xml:space="preserve"> </w:t>
      </w:r>
      <w:r>
        <w:rPr>
          <w:rFonts w:ascii="Times New Roman" w:hAnsi="Times New Roman"/>
        </w:rPr>
        <w:t>，现委托</w:t>
      </w:r>
      <w:r>
        <w:rPr>
          <w:rFonts w:ascii="Times New Roman" w:hAnsi="Times New Roman"/>
          <w:u w:val="single"/>
        </w:rPr>
        <w:t xml:space="preserve">            </w:t>
      </w:r>
      <w:r>
        <w:rPr>
          <w:rFonts w:ascii="Times New Roman" w:hAnsi="Times New Roman"/>
        </w:rPr>
        <w:t>（姓名）为我方代理人。代理人根据授权，以我方名义签署、澄清确认、递交、撤回、修改设备采购招标项目投标文件、签订合同和处理有关事宜，其法律后果由我方承担。</w:t>
      </w:r>
    </w:p>
    <w:p>
      <w:pPr>
        <w:spacing w:line="440" w:lineRule="exact"/>
        <w:ind w:firstLine="480"/>
        <w:rPr>
          <w:rFonts w:ascii="Times New Roman" w:hAnsi="Times New Roman"/>
        </w:rPr>
      </w:pPr>
      <w:r>
        <w:rPr>
          <w:rFonts w:ascii="Times New Roman" w:hAnsi="Times New Roman"/>
        </w:rPr>
        <w:t>委托期限：</w:t>
      </w:r>
      <w:r>
        <w:rPr>
          <w:rFonts w:hint="eastAsia" w:ascii="Times New Roman" w:hAnsi="Times New Roman"/>
        </w:rPr>
        <w:t>自本委托书签署之日起至投标有效期期满。</w:t>
      </w:r>
    </w:p>
    <w:p>
      <w:pPr>
        <w:spacing w:line="440" w:lineRule="exact"/>
        <w:ind w:firstLine="480"/>
        <w:rPr>
          <w:rFonts w:ascii="Times New Roman" w:hAnsi="Times New Roman"/>
        </w:rPr>
      </w:pPr>
      <w:r>
        <w:rPr>
          <w:rFonts w:ascii="Times New Roman" w:hAnsi="Times New Roman"/>
        </w:rPr>
        <w:t>代理人无转委托权。</w:t>
      </w:r>
    </w:p>
    <w:p>
      <w:pPr>
        <w:spacing w:line="440" w:lineRule="exact"/>
        <w:ind w:firstLine="480"/>
        <w:rPr>
          <w:rFonts w:ascii="Times New Roman" w:hAnsi="Times New Roman"/>
        </w:rPr>
      </w:pPr>
    </w:p>
    <w:p>
      <w:pPr>
        <w:spacing w:line="440" w:lineRule="exact"/>
        <w:ind w:firstLine="480"/>
        <w:rPr>
          <w:rFonts w:ascii="Times New Roman" w:hAnsi="Times New Roman"/>
        </w:rPr>
      </w:pPr>
      <w:r>
        <w:rPr>
          <w:rFonts w:ascii="Times New Roman" w:hAnsi="Times New Roman"/>
        </w:rPr>
        <w:t>附：法定代表人身份证复印件及委托代理人身份证复印件</w:t>
      </w:r>
    </w:p>
    <w:p>
      <w:pPr>
        <w:spacing w:line="440" w:lineRule="exact"/>
        <w:ind w:firstLine="480"/>
        <w:rPr>
          <w:rFonts w:ascii="Times New Roman" w:hAnsi="Times New Roman"/>
        </w:rPr>
      </w:pPr>
    </w:p>
    <w:p>
      <w:pPr>
        <w:spacing w:line="440" w:lineRule="exact"/>
        <w:ind w:firstLine="480"/>
        <w:rPr>
          <w:rFonts w:ascii="Times New Roman" w:hAnsi="Times New Roman"/>
        </w:rPr>
      </w:pPr>
      <w:r>
        <w:rPr>
          <w:rFonts w:ascii="Times New Roman" w:hAnsi="Times New Roman"/>
        </w:rPr>
        <w:t>注：本授权委托书需由投标人加盖单位公章并由其法定代表人和委托代理人签字。</w:t>
      </w:r>
    </w:p>
    <w:p>
      <w:pPr>
        <w:spacing w:line="440" w:lineRule="exact"/>
        <w:ind w:firstLine="480"/>
        <w:rPr>
          <w:rFonts w:ascii="Times New Roman" w:hAnsi="Times New Roman"/>
        </w:rPr>
      </w:pPr>
    </w:p>
    <w:p>
      <w:pPr>
        <w:spacing w:line="440" w:lineRule="exact"/>
        <w:ind w:firstLine="3076" w:firstLineChars="1282"/>
        <w:rPr>
          <w:rFonts w:ascii="Times New Roman" w:hAnsi="Times New Roman"/>
        </w:rPr>
      </w:pPr>
      <w:r>
        <w:rPr>
          <w:rFonts w:ascii="Times New Roman" w:hAnsi="Times New Roman"/>
        </w:rPr>
        <w:t>投  标  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rPr>
        <w:t>（单位公章）</w:t>
      </w:r>
    </w:p>
    <w:p>
      <w:pPr>
        <w:spacing w:line="440" w:lineRule="exact"/>
        <w:ind w:firstLine="3076" w:firstLineChars="1282"/>
        <w:rPr>
          <w:rFonts w:ascii="Times New Roman" w:hAnsi="Times New Roman"/>
        </w:rPr>
      </w:pPr>
    </w:p>
    <w:p>
      <w:pPr>
        <w:spacing w:line="440" w:lineRule="exact"/>
        <w:ind w:firstLine="3074" w:firstLineChars="1281"/>
        <w:jc w:val="left"/>
        <w:rPr>
          <w:rFonts w:ascii="Times New Roman" w:hAnsi="Times New Roman"/>
        </w:rPr>
      </w:pPr>
      <w:r>
        <w:rPr>
          <w:rFonts w:ascii="Times New Roman" w:hAnsi="Times New Roman"/>
        </w:rPr>
        <w:t>法定代表人</w:t>
      </w:r>
      <w:r>
        <w:rPr>
          <w:rFonts w:hint="eastAsia" w:ascii="Times New Roman" w:hAnsi="Times New Roman"/>
        </w:rPr>
        <w:t xml:space="preserve"> </w:t>
      </w:r>
      <w:r>
        <w:rPr>
          <w:rFonts w:ascii="Times New Roman" w:hAnsi="Times New Roman"/>
        </w:rPr>
        <w:t>：</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rPr>
        <w:t>（签字）</w:t>
      </w:r>
    </w:p>
    <w:p>
      <w:pPr>
        <w:spacing w:line="440" w:lineRule="exact"/>
        <w:ind w:firstLine="3076" w:firstLineChars="1282"/>
        <w:rPr>
          <w:rFonts w:ascii="Times New Roman" w:hAnsi="Times New Roman"/>
        </w:rPr>
      </w:pPr>
    </w:p>
    <w:p>
      <w:pPr>
        <w:spacing w:line="440" w:lineRule="exact"/>
        <w:ind w:firstLine="3076" w:firstLineChars="1282"/>
        <w:rPr>
          <w:rFonts w:ascii="Times New Roman" w:hAnsi="Times New Roman"/>
        </w:rPr>
      </w:pPr>
      <w:r>
        <w:rPr>
          <w:rFonts w:ascii="Times New Roman" w:hAnsi="Times New Roman"/>
        </w:rPr>
        <w:t>身份证号码：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3076" w:firstLineChars="1282"/>
        <w:rPr>
          <w:rFonts w:ascii="Times New Roman" w:hAnsi="Times New Roman"/>
        </w:rPr>
      </w:pPr>
    </w:p>
    <w:p>
      <w:pPr>
        <w:spacing w:line="440" w:lineRule="exact"/>
        <w:ind w:firstLine="3076" w:firstLineChars="1282"/>
        <w:rPr>
          <w:rFonts w:ascii="Times New Roman" w:hAnsi="Times New Roman"/>
        </w:rPr>
      </w:pPr>
      <w:r>
        <w:rPr>
          <w:rFonts w:ascii="Times New Roman" w:hAnsi="Times New Roman"/>
        </w:rPr>
        <w:t>委托代理人：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rPr>
        <w:t>（签字）</w:t>
      </w:r>
    </w:p>
    <w:p>
      <w:pPr>
        <w:spacing w:line="440" w:lineRule="exact"/>
        <w:ind w:firstLine="3076" w:firstLineChars="1282"/>
        <w:rPr>
          <w:rFonts w:ascii="Times New Roman" w:hAnsi="Times New Roman"/>
        </w:rPr>
      </w:pPr>
    </w:p>
    <w:p>
      <w:pPr>
        <w:spacing w:line="440" w:lineRule="exact"/>
        <w:ind w:firstLine="3076" w:firstLineChars="1282"/>
        <w:rPr>
          <w:rFonts w:ascii="Times New Roman" w:hAnsi="Times New Roman"/>
        </w:rPr>
      </w:pPr>
      <w:r>
        <w:rPr>
          <w:rFonts w:ascii="Times New Roman" w:hAnsi="Times New Roman"/>
        </w:rPr>
        <w:t>身份证号码：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3076" w:firstLineChars="1282"/>
        <w:rPr>
          <w:rFonts w:ascii="Times New Roman" w:hAnsi="Times New Roman"/>
        </w:rPr>
      </w:pPr>
    </w:p>
    <w:p>
      <w:pPr>
        <w:spacing w:line="440" w:lineRule="exact"/>
        <w:ind w:firstLine="3076" w:firstLineChars="1282"/>
        <w:rPr>
          <w:rFonts w:ascii="Times New Roman" w:hAnsi="Times New Roman"/>
        </w:rPr>
      </w:pPr>
    </w:p>
    <w:p>
      <w:pPr>
        <w:spacing w:line="440" w:lineRule="exact"/>
        <w:ind w:firstLine="4636" w:firstLineChars="1932"/>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ind w:firstLine="4636" w:firstLineChars="1932"/>
        <w:jc w:val="right"/>
        <w:rPr>
          <w:rFonts w:ascii="Times New Roman" w:hAnsi="Times New Roman"/>
        </w:rPr>
      </w:pPr>
      <w:r>
        <w:rPr>
          <w:rFonts w:ascii="Times New Roman" w:hAnsi="Times New Roman"/>
        </w:rPr>
        <w:br w:type="page"/>
      </w:r>
    </w:p>
    <w:p>
      <w:pPr>
        <w:pStyle w:val="5"/>
        <w:ind w:firstLine="560"/>
        <w:rPr>
          <w:rStyle w:val="50"/>
          <w:rFonts w:ascii="宋体" w:hAnsi="宋体" w:cs="宋体"/>
          <w:b w:val="0"/>
          <w:bCs w:val="0"/>
          <w:szCs w:val="21"/>
        </w:rPr>
      </w:pPr>
      <w:bookmarkStart w:id="438" w:name="_Toc26449"/>
      <w:r>
        <w:rPr>
          <w:rStyle w:val="50"/>
          <w:rFonts w:hint="eastAsia" w:ascii="宋体" w:hAnsi="宋体" w:cs="宋体"/>
          <w:b w:val="0"/>
          <w:bCs w:val="0"/>
        </w:rPr>
        <w:t>三、投标保证金（现金格式）</w:t>
      </w:r>
    </w:p>
    <w:p>
      <w:pPr>
        <w:ind w:firstLine="560"/>
        <w:rPr>
          <w:rFonts w:ascii="宋体" w:hAnsi="宋体" w:cs="宋体"/>
          <w:sz w:val="28"/>
          <w:szCs w:val="28"/>
        </w:rPr>
      </w:pPr>
    </w:p>
    <w:p>
      <w:pPr>
        <w:ind w:firstLine="48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（招标人名称）：</w:t>
      </w:r>
    </w:p>
    <w:p>
      <w:pPr>
        <w:ind w:firstLine="480"/>
        <w:rPr>
          <w:rFonts w:ascii="宋体" w:hAnsi="宋体" w:cs="宋体"/>
          <w:szCs w:val="21"/>
        </w:rPr>
      </w:pPr>
    </w:p>
    <w:p>
      <w:pPr>
        <w:ind w:firstLine="480"/>
        <w:jc w:val="left"/>
        <w:rPr>
          <w:rFonts w:ascii="宋体" w:hAnsi="宋体" w:cs="宋体"/>
          <w:szCs w:val="21"/>
        </w:rPr>
      </w:pPr>
      <w:r>
        <w:rPr>
          <w:rFonts w:hint="eastAsia" w:ascii="宋体" w:hAnsi="宋体" w:cs="宋体"/>
          <w:szCs w:val="21"/>
        </w:rPr>
        <w:t xml:space="preserve">    本投标人自愿参加</w:t>
      </w:r>
      <w:r>
        <w:rPr>
          <w:rFonts w:hint="eastAsia" w:ascii="宋体" w:hAnsi="宋体" w:cs="宋体"/>
          <w:szCs w:val="21"/>
          <w:u w:val="single"/>
        </w:rPr>
        <w:t xml:space="preserve">                </w:t>
      </w:r>
      <w:r>
        <w:rPr>
          <w:rFonts w:hint="eastAsia" w:ascii="宋体" w:hAnsi="宋体" w:cs="宋体"/>
          <w:szCs w:val="21"/>
        </w:rPr>
        <w:t>（项目名称）并按招标文件要求交纳投标保证金，金额为人民币（大写）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w:t>
      </w:r>
    </w:p>
    <w:p>
      <w:pPr>
        <w:ind w:firstLine="480"/>
        <w:jc w:val="left"/>
        <w:rPr>
          <w:rFonts w:ascii="宋体" w:hAnsi="宋体" w:cs="宋体"/>
          <w:szCs w:val="21"/>
        </w:rPr>
      </w:pPr>
      <w:r>
        <w:rPr>
          <w:rFonts w:hint="eastAsia" w:ascii="宋体" w:hAnsi="宋体" w:cs="宋体"/>
          <w:szCs w:val="21"/>
        </w:rPr>
        <w:t xml:space="preserve">    </w:t>
      </w:r>
    </w:p>
    <w:p>
      <w:pPr>
        <w:ind w:firstLine="480"/>
        <w:jc w:val="left"/>
        <w:rPr>
          <w:rFonts w:ascii="宋体" w:hAnsi="宋体" w:cs="宋体"/>
          <w:szCs w:val="21"/>
        </w:rPr>
      </w:pPr>
      <w:r>
        <w:rPr>
          <w:rFonts w:hint="eastAsia" w:ascii="宋体" w:hAnsi="宋体" w:cs="宋体"/>
          <w:szCs w:val="21"/>
        </w:rPr>
        <w:t xml:space="preserve">       </w:t>
      </w:r>
    </w:p>
    <w:p>
      <w:pPr>
        <w:ind w:firstLine="480"/>
        <w:rPr>
          <w:rFonts w:ascii="宋体" w:hAnsi="宋体" w:cs="宋体"/>
          <w:szCs w:val="21"/>
        </w:rPr>
      </w:pPr>
    </w:p>
    <w:p>
      <w:pPr>
        <w:ind w:firstLine="480"/>
        <w:rPr>
          <w:rFonts w:ascii="宋体" w:hAnsi="宋体" w:cs="宋体"/>
          <w:szCs w:val="21"/>
        </w:rPr>
      </w:pPr>
    </w:p>
    <w:p>
      <w:pPr>
        <w:ind w:firstLine="480"/>
        <w:rPr>
          <w:rFonts w:ascii="宋体" w:hAnsi="宋体" w:cs="宋体"/>
          <w:szCs w:val="21"/>
        </w:rPr>
      </w:pPr>
      <w:r>
        <w:rPr>
          <w:rFonts w:hint="eastAsia" w:ascii="宋体" w:hAnsi="宋体" w:cs="宋体"/>
          <w:szCs w:val="21"/>
        </w:rPr>
        <w:t xml:space="preserve">                            投 标 人：</w:t>
      </w:r>
      <w:r>
        <w:rPr>
          <w:rFonts w:hint="eastAsia" w:ascii="宋体" w:hAnsi="宋体" w:cs="宋体"/>
          <w:szCs w:val="21"/>
          <w:u w:val="single"/>
        </w:rPr>
        <w:t xml:space="preserve">                     </w:t>
      </w:r>
      <w:r>
        <w:rPr>
          <w:rFonts w:hint="eastAsia" w:ascii="宋体" w:hAnsi="宋体" w:cs="宋体"/>
          <w:szCs w:val="21"/>
        </w:rPr>
        <w:t>（盖单位章）</w:t>
      </w:r>
    </w:p>
    <w:p>
      <w:pPr>
        <w:ind w:firstLine="480"/>
        <w:rPr>
          <w:rFonts w:ascii="宋体" w:hAnsi="宋体" w:cs="宋体"/>
          <w:szCs w:val="21"/>
        </w:rPr>
      </w:pPr>
      <w:r>
        <w:rPr>
          <w:rFonts w:hint="eastAsia" w:ascii="宋体" w:hAnsi="宋体" w:cs="宋体"/>
          <w:szCs w:val="21"/>
        </w:rPr>
        <w:t xml:space="preserve">                      法定代表人或其委托代理人：</w:t>
      </w:r>
      <w:r>
        <w:rPr>
          <w:rFonts w:hint="eastAsia" w:ascii="宋体" w:hAnsi="宋体" w:cs="宋体"/>
          <w:szCs w:val="21"/>
          <w:u w:val="single"/>
        </w:rPr>
        <w:t xml:space="preserve">              </w:t>
      </w:r>
      <w:r>
        <w:rPr>
          <w:rFonts w:hint="eastAsia" w:ascii="宋体" w:hAnsi="宋体" w:cs="宋体"/>
          <w:szCs w:val="21"/>
        </w:rPr>
        <w:t>（签字）</w:t>
      </w:r>
    </w:p>
    <w:p>
      <w:pPr>
        <w:ind w:firstLine="480"/>
        <w:rPr>
          <w:rFonts w:ascii="宋体" w:hAnsi="宋体" w:cs="宋体"/>
          <w:szCs w:val="21"/>
        </w:rPr>
      </w:pPr>
    </w:p>
    <w:p>
      <w:pPr>
        <w:ind w:firstLine="480"/>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ind w:firstLine="480"/>
        <w:rPr>
          <w:rFonts w:ascii="宋体" w:hAnsi="宋体" w:cs="宋体"/>
          <w:szCs w:val="21"/>
        </w:rPr>
      </w:pPr>
    </w:p>
    <w:p>
      <w:pPr>
        <w:ind w:firstLine="480"/>
        <w:rPr>
          <w:rFonts w:ascii="宋体" w:hAnsi="宋体" w:cs="宋体"/>
          <w:szCs w:val="21"/>
        </w:rPr>
      </w:pPr>
    </w:p>
    <w:p>
      <w:pPr>
        <w:ind w:firstLine="480"/>
        <w:rPr>
          <w:rFonts w:ascii="宋体" w:hAnsi="宋体" w:cs="宋体"/>
          <w:szCs w:val="21"/>
        </w:rPr>
      </w:pPr>
    </w:p>
    <w:p>
      <w:pPr>
        <w:ind w:firstLine="480"/>
        <w:rPr>
          <w:rFonts w:ascii="宋体" w:hAnsi="宋体" w:cs="宋体"/>
          <w:szCs w:val="21"/>
        </w:rPr>
      </w:pPr>
    </w:p>
    <w:p>
      <w:pPr>
        <w:ind w:firstLine="480"/>
        <w:rPr>
          <w:rFonts w:ascii="宋体" w:hAnsi="宋体" w:cs="宋体"/>
          <w:szCs w:val="21"/>
        </w:rPr>
      </w:pPr>
    </w:p>
    <w:p>
      <w:pPr>
        <w:ind w:firstLine="480"/>
        <w:rPr>
          <w:rFonts w:ascii="宋体" w:hAnsi="宋体" w:cs="宋体"/>
          <w:szCs w:val="21"/>
        </w:rPr>
      </w:pPr>
    </w:p>
    <w:p>
      <w:pPr>
        <w:ind w:firstLine="560"/>
        <w:rPr>
          <w:rFonts w:ascii="宋体" w:hAnsi="宋体" w:cs="宋体"/>
          <w:sz w:val="28"/>
        </w:rPr>
      </w:pPr>
      <w:r>
        <w:rPr>
          <w:rFonts w:hint="eastAsia" w:ascii="宋体" w:hAnsi="宋体" w:cs="宋体"/>
          <w:sz w:val="28"/>
        </w:rPr>
        <w:br w:type="page"/>
      </w:r>
      <w:bookmarkEnd w:id="438"/>
      <w:bookmarkStart w:id="439" w:name="_Toc361508760"/>
    </w:p>
    <w:p>
      <w:pPr>
        <w:pStyle w:val="5"/>
        <w:ind w:firstLine="562"/>
        <w:rPr>
          <w:rFonts w:ascii="Times New Roman" w:hAnsi="Times New Roman"/>
        </w:rPr>
      </w:pPr>
      <w:bookmarkStart w:id="440" w:name="_Toc11187"/>
      <w:r>
        <w:rPr>
          <w:rFonts w:hint="eastAsia" w:ascii="Times New Roman" w:hAnsi="Times New Roman"/>
          <w:lang w:val="en-US" w:eastAsia="zh-CN"/>
        </w:rPr>
        <w:t>四</w:t>
      </w:r>
      <w:r>
        <w:rPr>
          <w:rFonts w:ascii="Times New Roman" w:hAnsi="Times New Roman"/>
        </w:rPr>
        <w:t>、资格审查资料</w:t>
      </w:r>
      <w:bookmarkEnd w:id="440"/>
    </w:p>
    <w:tbl>
      <w:tblPr>
        <w:tblStyle w:val="29"/>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01"/>
        <w:gridCol w:w="986"/>
        <w:gridCol w:w="1941"/>
        <w:gridCol w:w="1490"/>
        <w:gridCol w:w="19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rPr>
            </w:pPr>
            <w:r>
              <w:rPr>
                <w:rFonts w:ascii="Times New Roman" w:hAnsi="Times New Roman"/>
              </w:rPr>
              <w:t>投标人名称</w:t>
            </w:r>
          </w:p>
        </w:tc>
        <w:tc>
          <w:tcPr>
            <w:tcW w:w="633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2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rPr>
            </w:pPr>
            <w:r>
              <w:rPr>
                <w:rFonts w:ascii="Times New Roman" w:hAnsi="Times New Roman"/>
              </w:rPr>
              <w:t>注册</w:t>
            </w:r>
            <w:r>
              <w:rPr>
                <w:rFonts w:ascii="Times New Roman" w:hAnsi="Times New Roman"/>
                <w:szCs w:val="21"/>
              </w:rPr>
              <w:t>资金</w:t>
            </w:r>
          </w:p>
        </w:tc>
        <w:tc>
          <w:tcPr>
            <w:tcW w:w="29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rPr>
            </w:pPr>
          </w:p>
        </w:tc>
        <w:tc>
          <w:tcPr>
            <w:tcW w:w="149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Times New Roman" w:hAnsi="Times New Roman"/>
              </w:rPr>
            </w:pPr>
            <w:r>
              <w:rPr>
                <w:rFonts w:ascii="Times New Roman" w:hAnsi="Times New Roman"/>
                <w:szCs w:val="21"/>
              </w:rPr>
              <w:t>成立时间</w:t>
            </w:r>
          </w:p>
        </w:tc>
        <w:tc>
          <w:tcPr>
            <w:tcW w:w="191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szCs w:val="21"/>
              </w:rPr>
            </w:pPr>
            <w:r>
              <w:rPr>
                <w:rFonts w:ascii="Times New Roman" w:hAnsi="Times New Roman"/>
                <w:szCs w:val="21"/>
              </w:rPr>
              <w:t>注册地址</w:t>
            </w:r>
          </w:p>
        </w:tc>
        <w:tc>
          <w:tcPr>
            <w:tcW w:w="633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2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szCs w:val="21"/>
              </w:rPr>
            </w:pPr>
            <w:r>
              <w:rPr>
                <w:rFonts w:ascii="Times New Roman" w:hAnsi="Times New Roman"/>
                <w:szCs w:val="21"/>
              </w:rPr>
              <w:t>邮政编码</w:t>
            </w:r>
          </w:p>
        </w:tc>
        <w:tc>
          <w:tcPr>
            <w:tcW w:w="29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szCs w:val="21"/>
              </w:rPr>
            </w:pPr>
          </w:p>
        </w:tc>
        <w:tc>
          <w:tcPr>
            <w:tcW w:w="149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Times New Roman" w:hAnsi="Times New Roman"/>
                <w:szCs w:val="21"/>
              </w:rPr>
            </w:pPr>
            <w:r>
              <w:rPr>
                <w:rFonts w:ascii="Times New Roman" w:hAnsi="Times New Roman"/>
                <w:szCs w:val="21"/>
              </w:rPr>
              <w:t>员工总数</w:t>
            </w:r>
          </w:p>
        </w:tc>
        <w:tc>
          <w:tcPr>
            <w:tcW w:w="191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6" w:hRule="atLeast"/>
        </w:trPr>
        <w:tc>
          <w:tcPr>
            <w:tcW w:w="260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szCs w:val="21"/>
              </w:rPr>
            </w:pPr>
            <w:r>
              <w:rPr>
                <w:rFonts w:ascii="Times New Roman" w:hAnsi="Times New Roman"/>
                <w:szCs w:val="21"/>
              </w:rPr>
              <w:t>联系方式</w:t>
            </w:r>
          </w:p>
        </w:tc>
        <w:tc>
          <w:tcPr>
            <w:tcW w:w="9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Times New Roman" w:hAnsi="Times New Roman"/>
                <w:szCs w:val="21"/>
              </w:rPr>
            </w:pPr>
            <w:r>
              <w:rPr>
                <w:rFonts w:ascii="Times New Roman" w:hAnsi="Times New Roman"/>
                <w:szCs w:val="21"/>
              </w:rPr>
              <w:t>联系人</w:t>
            </w:r>
          </w:p>
        </w:tc>
        <w:tc>
          <w:tcPr>
            <w:tcW w:w="19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szCs w:val="21"/>
              </w:rPr>
            </w:pPr>
          </w:p>
        </w:tc>
        <w:tc>
          <w:tcPr>
            <w:tcW w:w="149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Times New Roman" w:hAnsi="Times New Roman"/>
                <w:szCs w:val="21"/>
              </w:rPr>
            </w:pPr>
            <w:r>
              <w:rPr>
                <w:rFonts w:ascii="Times New Roman" w:hAnsi="Times New Roman"/>
                <w:szCs w:val="21"/>
              </w:rPr>
              <w:t>电话</w:t>
            </w:r>
          </w:p>
        </w:tc>
        <w:tc>
          <w:tcPr>
            <w:tcW w:w="191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87" w:hRule="atLeast"/>
        </w:trPr>
        <w:tc>
          <w:tcPr>
            <w:tcW w:w="2601" w:type="dxa"/>
            <w:vMerge w:val="continue"/>
            <w:tcBorders>
              <w:top w:val="single" w:color="auto" w:sz="4" w:space="0"/>
              <w:left w:val="single" w:color="auto" w:sz="4" w:space="0"/>
              <w:bottom w:val="single" w:color="auto" w:sz="4" w:space="0"/>
              <w:right w:val="single" w:color="auto" w:sz="4" w:space="0"/>
            </w:tcBorders>
            <w:vAlign w:val="center"/>
          </w:tcPr>
          <w:p>
            <w:pPr>
              <w:ind w:firstLine="480"/>
              <w:rPr>
                <w:rFonts w:ascii="Times New Roman" w:hAnsi="Times New Roman"/>
              </w:rPr>
            </w:pPr>
          </w:p>
        </w:tc>
        <w:tc>
          <w:tcPr>
            <w:tcW w:w="9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Times New Roman" w:hAnsi="Times New Roman"/>
                <w:szCs w:val="21"/>
              </w:rPr>
            </w:pPr>
            <w:r>
              <w:rPr>
                <w:rFonts w:ascii="Times New Roman" w:hAnsi="Times New Roman"/>
                <w:szCs w:val="21"/>
              </w:rPr>
              <w:t>网址</w:t>
            </w:r>
          </w:p>
        </w:tc>
        <w:tc>
          <w:tcPr>
            <w:tcW w:w="19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szCs w:val="21"/>
              </w:rPr>
            </w:pPr>
          </w:p>
        </w:tc>
        <w:tc>
          <w:tcPr>
            <w:tcW w:w="149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Times New Roman" w:hAnsi="Times New Roman"/>
                <w:szCs w:val="21"/>
              </w:rPr>
            </w:pPr>
            <w:r>
              <w:rPr>
                <w:rFonts w:ascii="Times New Roman" w:hAnsi="Times New Roman"/>
                <w:szCs w:val="21"/>
              </w:rPr>
              <w:t>传真</w:t>
            </w:r>
          </w:p>
        </w:tc>
        <w:tc>
          <w:tcPr>
            <w:tcW w:w="191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szCs w:val="21"/>
              </w:rPr>
            </w:pPr>
            <w:r>
              <w:rPr>
                <w:rFonts w:ascii="Times New Roman" w:hAnsi="Times New Roman"/>
                <w:szCs w:val="21"/>
              </w:rPr>
              <w:t>法定代表人</w:t>
            </w:r>
          </w:p>
          <w:p>
            <w:pPr>
              <w:topLinePunct/>
              <w:spacing w:line="440" w:lineRule="exact"/>
              <w:ind w:firstLine="480"/>
              <w:jc w:val="center"/>
              <w:rPr>
                <w:rFonts w:ascii="Times New Roman" w:hAnsi="Times New Roman"/>
                <w:szCs w:val="21"/>
              </w:rPr>
            </w:pPr>
            <w:r>
              <w:rPr>
                <w:rFonts w:hint="eastAsia" w:ascii="Times New Roman" w:hAnsi="Times New Roman"/>
              </w:rPr>
              <w:t xml:space="preserve"> </w:t>
            </w:r>
          </w:p>
        </w:tc>
        <w:tc>
          <w:tcPr>
            <w:tcW w:w="9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Times New Roman" w:hAnsi="Times New Roman"/>
                <w:szCs w:val="21"/>
              </w:rPr>
            </w:pPr>
            <w:r>
              <w:rPr>
                <w:rFonts w:ascii="Times New Roman" w:hAnsi="Times New Roman"/>
                <w:szCs w:val="21"/>
              </w:rPr>
              <w:t>姓名</w:t>
            </w:r>
          </w:p>
        </w:tc>
        <w:tc>
          <w:tcPr>
            <w:tcW w:w="19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szCs w:val="21"/>
              </w:rPr>
            </w:pPr>
          </w:p>
        </w:tc>
        <w:tc>
          <w:tcPr>
            <w:tcW w:w="149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Times New Roman" w:hAnsi="Times New Roman"/>
                <w:szCs w:val="21"/>
              </w:rPr>
            </w:pPr>
            <w:r>
              <w:rPr>
                <w:rFonts w:ascii="Times New Roman" w:hAnsi="Times New Roman"/>
                <w:szCs w:val="21"/>
              </w:rPr>
              <w:t>电话</w:t>
            </w:r>
          </w:p>
        </w:tc>
        <w:tc>
          <w:tcPr>
            <w:tcW w:w="191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2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Times New Roman" w:hAnsi="Times New Roman"/>
              </w:rPr>
            </w:pPr>
            <w:r>
              <w:rPr>
                <w:rFonts w:ascii="Times New Roman" w:hAnsi="Times New Roman"/>
                <w:szCs w:val="21"/>
              </w:rPr>
              <w:t>基本账户开户银行</w:t>
            </w:r>
          </w:p>
        </w:tc>
        <w:tc>
          <w:tcPr>
            <w:tcW w:w="633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20" w:firstLineChars="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601" w:type="dxa"/>
            <w:tcBorders>
              <w:top w:val="single" w:color="auto" w:sz="4" w:space="0"/>
              <w:left w:val="single" w:color="auto" w:sz="4" w:space="0"/>
              <w:right w:val="single" w:color="auto" w:sz="4" w:space="0"/>
            </w:tcBorders>
            <w:vAlign w:val="center"/>
          </w:tcPr>
          <w:p>
            <w:pPr>
              <w:topLinePunct/>
              <w:spacing w:line="440" w:lineRule="exact"/>
              <w:ind w:firstLine="0" w:firstLineChars="0"/>
              <w:rPr>
                <w:rFonts w:ascii="Times New Roman" w:hAnsi="Times New Roman"/>
                <w:szCs w:val="21"/>
              </w:rPr>
            </w:pPr>
            <w:r>
              <w:rPr>
                <w:rFonts w:ascii="Times New Roman" w:hAnsi="Times New Roman"/>
                <w:szCs w:val="21"/>
              </w:rPr>
              <w:t>基本账户银行账号</w:t>
            </w:r>
          </w:p>
        </w:tc>
        <w:tc>
          <w:tcPr>
            <w:tcW w:w="6330" w:type="dxa"/>
            <w:gridSpan w:val="4"/>
            <w:tcBorders>
              <w:top w:val="single" w:color="auto" w:sz="4" w:space="0"/>
              <w:left w:val="single" w:color="auto" w:sz="4" w:space="0"/>
              <w:right w:val="single" w:color="auto" w:sz="4" w:space="0"/>
            </w:tcBorders>
            <w:vAlign w:val="center"/>
          </w:tcPr>
          <w:p>
            <w:pPr>
              <w:topLinePunct/>
              <w:spacing w:line="440" w:lineRule="exact"/>
              <w:ind w:firstLine="48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2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szCs w:val="21"/>
              </w:rPr>
            </w:pPr>
            <w:r>
              <w:rPr>
                <w:rFonts w:ascii="Times New Roman" w:hAnsi="Times New Roman"/>
                <w:szCs w:val="21"/>
              </w:rPr>
              <w:t>备注</w:t>
            </w:r>
          </w:p>
        </w:tc>
        <w:tc>
          <w:tcPr>
            <w:tcW w:w="633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Times New Roman" w:hAnsi="Times New Roman"/>
                <w:szCs w:val="21"/>
              </w:rPr>
            </w:pPr>
          </w:p>
        </w:tc>
      </w:tr>
    </w:tbl>
    <w:p>
      <w:pPr>
        <w:spacing w:line="400" w:lineRule="exact"/>
        <w:ind w:firstLine="480"/>
        <w:rPr>
          <w:rFonts w:ascii="Times New Roman" w:hAnsi="Times New Roman"/>
        </w:rPr>
      </w:pPr>
      <w:r>
        <w:rPr>
          <w:rFonts w:ascii="Times New Roman" w:hAnsi="Times New Roman"/>
        </w:rPr>
        <w:t>注：1. 投标人应根据投标人须知要求在本表后附相关证明材料。</w:t>
      </w:r>
    </w:p>
    <w:p>
      <w:pPr>
        <w:rPr>
          <w:rFonts w:ascii="Times New Roman" w:hAnsi="Times New Roman"/>
        </w:rPr>
      </w:pPr>
      <w:r>
        <w:rPr>
          <w:rFonts w:ascii="Times New Roman" w:hAnsi="Times New Roman"/>
        </w:rPr>
        <w:br w:type="page"/>
      </w:r>
    </w:p>
    <w:p>
      <w:pPr>
        <w:pStyle w:val="5"/>
        <w:ind w:firstLine="562"/>
        <w:rPr>
          <w:rFonts w:ascii="Times New Roman" w:hAnsi="Times New Roman"/>
          <w:color w:val="FF0000"/>
        </w:rPr>
      </w:pPr>
      <w:bookmarkStart w:id="441" w:name="_Toc22043"/>
      <w:r>
        <w:rPr>
          <w:rFonts w:hint="eastAsia" w:ascii="Times New Roman" w:hAnsi="Times New Roman"/>
          <w:color w:val="FF0000"/>
          <w:lang w:val="en-US" w:eastAsia="zh-CN"/>
        </w:rPr>
        <w:t>五</w:t>
      </w:r>
      <w:r>
        <w:rPr>
          <w:rFonts w:ascii="Times New Roman" w:hAnsi="Times New Roman"/>
          <w:color w:val="FF0000"/>
        </w:rPr>
        <w:t>、</w:t>
      </w:r>
      <w:bookmarkEnd w:id="441"/>
      <w:r>
        <w:rPr>
          <w:rFonts w:hint="eastAsia" w:ascii="Times New Roman" w:hAnsi="Times New Roman"/>
          <w:color w:val="FF0000"/>
        </w:rPr>
        <w:t>关键设备技术指标响应表</w:t>
      </w:r>
    </w:p>
    <w:tbl>
      <w:tblPr>
        <w:tblStyle w:val="30"/>
        <w:tblW w:w="9748"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1431"/>
        <w:gridCol w:w="3486"/>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591" w:type="dxa"/>
            <w:vAlign w:val="center"/>
          </w:tcPr>
          <w:p>
            <w:pPr>
              <w:pStyle w:val="6"/>
              <w:spacing w:line="440" w:lineRule="exact"/>
              <w:jc w:val="center"/>
              <w:outlineLvl w:val="2"/>
              <w:rPr>
                <w:rFonts w:ascii="宋体" w:hAnsi="宋体" w:eastAsia="宋体" w:cs="仿宋"/>
                <w:color w:val="FF0000"/>
                <w:sz w:val="21"/>
                <w:szCs w:val="21"/>
              </w:rPr>
            </w:pPr>
            <w:r>
              <w:rPr>
                <w:rFonts w:hint="eastAsia" w:ascii="宋体" w:hAnsi="宋体" w:eastAsia="宋体" w:cs="仿宋"/>
                <w:color w:val="FF0000"/>
                <w:sz w:val="21"/>
                <w:szCs w:val="21"/>
              </w:rPr>
              <w:t>序号</w:t>
            </w:r>
          </w:p>
        </w:tc>
        <w:tc>
          <w:tcPr>
            <w:tcW w:w="1431" w:type="dxa"/>
            <w:vAlign w:val="center"/>
          </w:tcPr>
          <w:p>
            <w:pPr>
              <w:pStyle w:val="6"/>
              <w:spacing w:line="440" w:lineRule="exact"/>
              <w:jc w:val="center"/>
              <w:outlineLvl w:val="2"/>
              <w:rPr>
                <w:rFonts w:ascii="宋体" w:hAnsi="宋体" w:eastAsia="宋体" w:cs="仿宋"/>
                <w:color w:val="FF0000"/>
                <w:sz w:val="21"/>
                <w:szCs w:val="21"/>
              </w:rPr>
            </w:pPr>
            <w:r>
              <w:rPr>
                <w:rFonts w:hint="eastAsia" w:ascii="宋体" w:hAnsi="宋体" w:eastAsia="宋体" w:cs="仿宋"/>
                <w:color w:val="FF0000"/>
                <w:sz w:val="21"/>
                <w:szCs w:val="21"/>
              </w:rPr>
              <w:t>设备名称</w:t>
            </w:r>
          </w:p>
        </w:tc>
        <w:tc>
          <w:tcPr>
            <w:tcW w:w="3486" w:type="dxa"/>
            <w:vAlign w:val="center"/>
          </w:tcPr>
          <w:p>
            <w:pPr>
              <w:pStyle w:val="6"/>
              <w:spacing w:line="440" w:lineRule="exact"/>
              <w:jc w:val="center"/>
              <w:outlineLvl w:val="2"/>
              <w:rPr>
                <w:rFonts w:ascii="宋体" w:hAnsi="宋体" w:eastAsia="宋体" w:cs="仿宋"/>
                <w:color w:val="FF0000"/>
                <w:sz w:val="21"/>
                <w:szCs w:val="21"/>
              </w:rPr>
            </w:pPr>
            <w:r>
              <w:rPr>
                <w:rFonts w:hint="eastAsia" w:ascii="宋体" w:hAnsi="宋体" w:eastAsia="宋体" w:cs="仿宋"/>
                <w:color w:val="FF0000"/>
                <w:sz w:val="21"/>
                <w:szCs w:val="21"/>
              </w:rPr>
              <w:t>招标文件技术参数</w:t>
            </w:r>
          </w:p>
        </w:tc>
        <w:tc>
          <w:tcPr>
            <w:tcW w:w="1620" w:type="dxa"/>
            <w:vAlign w:val="center"/>
          </w:tcPr>
          <w:p>
            <w:pPr>
              <w:pStyle w:val="6"/>
              <w:spacing w:line="440" w:lineRule="exact"/>
              <w:jc w:val="center"/>
              <w:outlineLvl w:val="2"/>
              <w:rPr>
                <w:rFonts w:ascii="宋体" w:hAnsi="宋体" w:eastAsia="宋体" w:cs="仿宋"/>
                <w:color w:val="FF0000"/>
                <w:sz w:val="21"/>
                <w:szCs w:val="21"/>
              </w:rPr>
            </w:pPr>
            <w:r>
              <w:rPr>
                <w:rFonts w:hint="eastAsia" w:ascii="宋体" w:hAnsi="宋体" w:eastAsia="宋体" w:cs="仿宋"/>
                <w:color w:val="FF0000"/>
                <w:sz w:val="21"/>
                <w:szCs w:val="21"/>
              </w:rPr>
              <w:t>投标文件响应参数</w:t>
            </w:r>
          </w:p>
        </w:tc>
        <w:tc>
          <w:tcPr>
            <w:tcW w:w="1620" w:type="dxa"/>
            <w:vAlign w:val="center"/>
          </w:tcPr>
          <w:p>
            <w:pPr>
              <w:pStyle w:val="6"/>
              <w:spacing w:line="440" w:lineRule="exact"/>
              <w:jc w:val="center"/>
              <w:outlineLvl w:val="2"/>
              <w:rPr>
                <w:rFonts w:hint="eastAsia" w:ascii="宋体" w:hAnsi="宋体" w:eastAsia="宋体" w:cs="仿宋"/>
                <w:color w:val="FF0000"/>
                <w:sz w:val="21"/>
                <w:szCs w:val="21"/>
                <w:lang w:val="en-US" w:eastAsia="zh-CN"/>
              </w:rPr>
            </w:pPr>
            <w:r>
              <w:rPr>
                <w:rFonts w:hint="eastAsia" w:ascii="宋体" w:hAnsi="宋体" w:eastAsia="宋体" w:cs="仿宋"/>
                <w:color w:val="FF0000"/>
                <w:sz w:val="21"/>
                <w:szCs w:val="21"/>
                <w:lang w:val="en-US" w:eastAsia="zh-CN"/>
              </w:rPr>
              <w:t>页码</w:t>
            </w:r>
          </w:p>
          <w:p>
            <w:pPr>
              <w:pStyle w:val="6"/>
              <w:spacing w:line="440" w:lineRule="exact"/>
              <w:jc w:val="center"/>
              <w:outlineLvl w:val="2"/>
              <w:rPr>
                <w:rFonts w:hint="eastAsia" w:ascii="宋体" w:hAnsi="宋体" w:eastAsia="宋体" w:cs="仿宋"/>
                <w:color w:val="FF0000"/>
                <w:sz w:val="21"/>
                <w:szCs w:val="21"/>
                <w:lang w:val="en-US" w:eastAsia="zh-CN"/>
              </w:rPr>
            </w:pPr>
            <w:r>
              <w:rPr>
                <w:rFonts w:hint="eastAsia" w:ascii="宋体" w:hAnsi="宋体" w:eastAsia="宋体" w:cs="仿宋"/>
                <w:color w:val="FF0000"/>
                <w:sz w:val="21"/>
                <w:szCs w:val="21"/>
                <w:lang w:val="en-US" w:eastAsia="zh-CN"/>
              </w:rPr>
              <w:t>（证明资料在投标文件中的页码）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591" w:type="dxa"/>
            <w:vMerge w:val="restart"/>
            <w:vAlign w:val="center"/>
          </w:tcPr>
          <w:p>
            <w:pPr>
              <w:widowControl/>
              <w:spacing w:line="440" w:lineRule="exact"/>
              <w:ind w:firstLine="0" w:firstLineChars="0"/>
              <w:jc w:val="center"/>
              <w:textAlignment w:val="top"/>
              <w:rPr>
                <w:rFonts w:ascii="宋体" w:hAnsi="宋体" w:cs="仿宋"/>
                <w:color w:val="FF0000"/>
                <w:sz w:val="21"/>
                <w:szCs w:val="21"/>
              </w:rPr>
            </w:pPr>
            <w:r>
              <w:rPr>
                <w:rFonts w:hint="eastAsia" w:ascii="宋体" w:hAnsi="宋体" w:cs="仿宋"/>
                <w:color w:val="FF0000"/>
                <w:kern w:val="0"/>
                <w:sz w:val="21"/>
                <w:szCs w:val="21"/>
                <w:lang w:bidi="ar"/>
              </w:rPr>
              <w:t>1</w:t>
            </w:r>
          </w:p>
        </w:tc>
        <w:tc>
          <w:tcPr>
            <w:tcW w:w="1431" w:type="dxa"/>
            <w:vMerge w:val="restart"/>
            <w:vAlign w:val="center"/>
          </w:tcPr>
          <w:p>
            <w:pPr>
              <w:widowControl/>
              <w:spacing w:line="440" w:lineRule="exact"/>
              <w:ind w:firstLine="0" w:firstLineChars="0"/>
              <w:jc w:val="center"/>
              <w:textAlignment w:val="top"/>
              <w:rPr>
                <w:rFonts w:hint="default" w:ascii="宋体" w:hAnsi="宋体" w:eastAsia="宋体" w:cs="宋体"/>
                <w:color w:val="FF0000"/>
                <w:sz w:val="21"/>
                <w:szCs w:val="21"/>
                <w:lang w:val="en-US" w:eastAsia="zh-CN"/>
              </w:rPr>
            </w:pPr>
            <w:r>
              <w:rPr>
                <w:rFonts w:hint="eastAsia" w:ascii="宋体" w:hAnsi="宋体" w:cs="宋体"/>
                <w:color w:val="FF0000"/>
                <w:sz w:val="21"/>
                <w:szCs w:val="21"/>
                <w:lang w:val="en-US" w:eastAsia="zh-CN"/>
              </w:rPr>
              <w:t>丰田越野车</w:t>
            </w:r>
          </w:p>
        </w:tc>
        <w:tc>
          <w:tcPr>
            <w:tcW w:w="3486" w:type="dxa"/>
            <w:vAlign w:val="center"/>
          </w:tcPr>
          <w:p>
            <w:pPr>
              <w:pStyle w:val="6"/>
              <w:spacing w:line="440" w:lineRule="exact"/>
              <w:jc w:val="left"/>
              <w:outlineLvl w:val="2"/>
              <w:rPr>
                <w:rFonts w:hint="default" w:ascii="宋体" w:hAnsi="宋体" w:eastAsia="宋体" w:cs="仿宋"/>
                <w:color w:val="FF0000"/>
                <w:sz w:val="21"/>
                <w:szCs w:val="21"/>
                <w:lang w:val="en-US" w:eastAsia="zh-CN"/>
              </w:rPr>
            </w:pPr>
            <w:r>
              <w:rPr>
                <w:rFonts w:hint="eastAsia" w:ascii="宋体" w:hAnsi="宋体" w:eastAsia="宋体" w:cs="仿宋"/>
                <w:color w:val="FF0000"/>
                <w:sz w:val="21"/>
                <w:szCs w:val="21"/>
                <w:lang w:val="en-US" w:eastAsia="zh-CN"/>
              </w:rPr>
              <w:t>最大功率206(KW )</w:t>
            </w:r>
          </w:p>
        </w:tc>
        <w:tc>
          <w:tcPr>
            <w:tcW w:w="1620" w:type="dxa"/>
            <w:vAlign w:val="center"/>
          </w:tcPr>
          <w:p>
            <w:pPr>
              <w:pStyle w:val="6"/>
              <w:spacing w:line="440" w:lineRule="exact"/>
              <w:jc w:val="center"/>
              <w:outlineLvl w:val="2"/>
              <w:rPr>
                <w:rFonts w:ascii="宋体" w:hAnsi="宋体" w:eastAsia="宋体" w:cs="仿宋"/>
                <w:color w:val="FF0000"/>
                <w:sz w:val="21"/>
                <w:szCs w:val="21"/>
              </w:rPr>
            </w:pPr>
          </w:p>
        </w:tc>
        <w:tc>
          <w:tcPr>
            <w:tcW w:w="1620" w:type="dxa"/>
            <w:vAlign w:val="center"/>
          </w:tcPr>
          <w:p>
            <w:pPr>
              <w:pStyle w:val="6"/>
              <w:spacing w:line="440" w:lineRule="exact"/>
              <w:jc w:val="center"/>
              <w:outlineLvl w:val="2"/>
              <w:rPr>
                <w:rFonts w:ascii="宋体" w:hAnsi="宋体" w:eastAsia="宋体" w:cs="仿宋"/>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91" w:type="dxa"/>
            <w:vMerge w:val="continue"/>
            <w:tcBorders/>
            <w:vAlign w:val="center"/>
          </w:tcPr>
          <w:p>
            <w:pPr>
              <w:widowControl/>
              <w:spacing w:line="440" w:lineRule="exact"/>
              <w:ind w:firstLine="0" w:firstLineChars="0"/>
              <w:jc w:val="center"/>
              <w:textAlignment w:val="top"/>
              <w:rPr>
                <w:rFonts w:ascii="宋体" w:hAnsi="宋体" w:cs="仿宋"/>
                <w:color w:val="FF0000"/>
                <w:sz w:val="21"/>
                <w:szCs w:val="21"/>
              </w:rPr>
            </w:pPr>
          </w:p>
        </w:tc>
        <w:tc>
          <w:tcPr>
            <w:tcW w:w="1431" w:type="dxa"/>
            <w:vMerge w:val="continue"/>
            <w:tcBorders/>
            <w:vAlign w:val="center"/>
          </w:tcPr>
          <w:p>
            <w:pPr>
              <w:widowControl/>
              <w:spacing w:line="440" w:lineRule="exact"/>
              <w:ind w:firstLine="0" w:firstLineChars="0"/>
              <w:jc w:val="center"/>
              <w:textAlignment w:val="top"/>
              <w:rPr>
                <w:rFonts w:ascii="宋体" w:hAnsi="宋体" w:cs="宋体"/>
                <w:color w:val="FF0000"/>
                <w:sz w:val="21"/>
                <w:szCs w:val="21"/>
              </w:rPr>
            </w:pPr>
          </w:p>
        </w:tc>
        <w:tc>
          <w:tcPr>
            <w:tcW w:w="3486" w:type="dxa"/>
            <w:vAlign w:val="center"/>
          </w:tcPr>
          <w:p>
            <w:pPr>
              <w:pStyle w:val="6"/>
              <w:spacing w:line="440" w:lineRule="exact"/>
              <w:jc w:val="left"/>
              <w:outlineLvl w:val="2"/>
              <w:rPr>
                <w:rFonts w:hint="default" w:ascii="宋体" w:hAnsi="宋体" w:eastAsia="宋体" w:cs="仿宋"/>
                <w:color w:val="FF0000"/>
                <w:sz w:val="21"/>
                <w:szCs w:val="21"/>
                <w:lang w:val="en-US" w:eastAsia="zh-CN"/>
              </w:rPr>
            </w:pPr>
            <w:r>
              <w:rPr>
                <w:rFonts w:hint="eastAsia" w:ascii="宋体" w:hAnsi="宋体" w:eastAsia="宋体" w:cs="仿宋"/>
                <w:color w:val="FF0000"/>
                <w:sz w:val="21"/>
                <w:szCs w:val="21"/>
                <w:lang w:val="en-US" w:eastAsia="zh-CN"/>
              </w:rPr>
              <w:t>最大扭矩365（N*M）</w:t>
            </w:r>
          </w:p>
        </w:tc>
        <w:tc>
          <w:tcPr>
            <w:tcW w:w="1620" w:type="dxa"/>
            <w:vAlign w:val="center"/>
          </w:tcPr>
          <w:p>
            <w:pPr>
              <w:pStyle w:val="6"/>
              <w:spacing w:line="440" w:lineRule="exact"/>
              <w:jc w:val="center"/>
              <w:outlineLvl w:val="2"/>
              <w:rPr>
                <w:rFonts w:ascii="宋体" w:hAnsi="宋体" w:eastAsia="宋体" w:cs="仿宋"/>
                <w:color w:val="FF0000"/>
                <w:sz w:val="21"/>
                <w:szCs w:val="21"/>
              </w:rPr>
            </w:pPr>
          </w:p>
        </w:tc>
        <w:tc>
          <w:tcPr>
            <w:tcW w:w="1620" w:type="dxa"/>
            <w:vAlign w:val="center"/>
          </w:tcPr>
          <w:p>
            <w:pPr>
              <w:pStyle w:val="6"/>
              <w:spacing w:line="440" w:lineRule="exact"/>
              <w:jc w:val="center"/>
              <w:outlineLvl w:val="2"/>
              <w:rPr>
                <w:rFonts w:ascii="宋体" w:hAnsi="宋体" w:eastAsia="宋体" w:cs="仿宋"/>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91" w:type="dxa"/>
            <w:vMerge w:val="continue"/>
            <w:tcBorders/>
            <w:vAlign w:val="center"/>
          </w:tcPr>
          <w:p>
            <w:pPr>
              <w:widowControl/>
              <w:spacing w:line="440" w:lineRule="exact"/>
              <w:ind w:firstLine="0" w:firstLineChars="0"/>
              <w:jc w:val="center"/>
              <w:textAlignment w:val="top"/>
              <w:rPr>
                <w:rFonts w:ascii="宋体" w:hAnsi="宋体" w:cs="仿宋"/>
                <w:color w:val="FF0000"/>
                <w:sz w:val="21"/>
                <w:szCs w:val="21"/>
              </w:rPr>
            </w:pPr>
          </w:p>
        </w:tc>
        <w:tc>
          <w:tcPr>
            <w:tcW w:w="1431" w:type="dxa"/>
            <w:vMerge w:val="continue"/>
            <w:tcBorders/>
            <w:vAlign w:val="center"/>
          </w:tcPr>
          <w:p>
            <w:pPr>
              <w:widowControl/>
              <w:spacing w:line="440" w:lineRule="exact"/>
              <w:ind w:firstLine="0" w:firstLineChars="0"/>
              <w:jc w:val="center"/>
              <w:textAlignment w:val="top"/>
              <w:rPr>
                <w:rFonts w:ascii="宋体" w:hAnsi="宋体" w:cs="宋体"/>
                <w:color w:val="FF0000"/>
                <w:sz w:val="21"/>
                <w:szCs w:val="21"/>
              </w:rPr>
            </w:pPr>
          </w:p>
        </w:tc>
        <w:tc>
          <w:tcPr>
            <w:tcW w:w="3486" w:type="dxa"/>
            <w:vAlign w:val="center"/>
          </w:tcPr>
          <w:p>
            <w:pPr>
              <w:pStyle w:val="6"/>
              <w:spacing w:line="440" w:lineRule="exact"/>
              <w:jc w:val="left"/>
              <w:outlineLvl w:val="2"/>
              <w:rPr>
                <w:rFonts w:hint="default" w:ascii="宋体" w:hAnsi="宋体" w:eastAsia="宋体" w:cs="仿宋"/>
                <w:color w:val="FF0000"/>
                <w:sz w:val="21"/>
                <w:szCs w:val="21"/>
                <w:lang w:val="en-US" w:eastAsia="zh-CN"/>
              </w:rPr>
            </w:pPr>
            <w:r>
              <w:rPr>
                <w:rFonts w:hint="eastAsia" w:ascii="宋体" w:hAnsi="宋体" w:eastAsia="宋体" w:cs="仿宋"/>
                <w:color w:val="FF0000"/>
                <w:sz w:val="21"/>
                <w:szCs w:val="21"/>
                <w:lang w:val="en-US" w:eastAsia="zh-CN"/>
              </w:rPr>
              <w:t>发动机3.5L 280匹马力</w:t>
            </w:r>
          </w:p>
        </w:tc>
        <w:tc>
          <w:tcPr>
            <w:tcW w:w="1620" w:type="dxa"/>
            <w:vAlign w:val="center"/>
          </w:tcPr>
          <w:p>
            <w:pPr>
              <w:pStyle w:val="6"/>
              <w:spacing w:line="440" w:lineRule="exact"/>
              <w:jc w:val="center"/>
              <w:outlineLvl w:val="2"/>
              <w:rPr>
                <w:rFonts w:ascii="宋体" w:hAnsi="宋体" w:eastAsia="宋体" w:cs="仿宋"/>
                <w:color w:val="FF0000"/>
                <w:sz w:val="21"/>
                <w:szCs w:val="21"/>
              </w:rPr>
            </w:pPr>
          </w:p>
        </w:tc>
        <w:tc>
          <w:tcPr>
            <w:tcW w:w="1620" w:type="dxa"/>
            <w:vAlign w:val="center"/>
          </w:tcPr>
          <w:p>
            <w:pPr>
              <w:pStyle w:val="6"/>
              <w:spacing w:line="440" w:lineRule="exact"/>
              <w:jc w:val="center"/>
              <w:outlineLvl w:val="2"/>
              <w:rPr>
                <w:rFonts w:ascii="宋体" w:hAnsi="宋体" w:eastAsia="宋体" w:cs="仿宋"/>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91" w:type="dxa"/>
            <w:vMerge w:val="continue"/>
            <w:tcBorders/>
            <w:vAlign w:val="center"/>
          </w:tcPr>
          <w:p>
            <w:pPr>
              <w:widowControl/>
              <w:spacing w:line="440" w:lineRule="exact"/>
              <w:ind w:firstLine="0" w:firstLineChars="0"/>
              <w:jc w:val="center"/>
              <w:textAlignment w:val="top"/>
              <w:rPr>
                <w:rFonts w:ascii="宋体" w:hAnsi="宋体" w:cs="仿宋"/>
                <w:color w:val="FF0000"/>
                <w:sz w:val="21"/>
                <w:szCs w:val="21"/>
              </w:rPr>
            </w:pPr>
          </w:p>
        </w:tc>
        <w:tc>
          <w:tcPr>
            <w:tcW w:w="1431" w:type="dxa"/>
            <w:vMerge w:val="continue"/>
            <w:tcBorders/>
            <w:vAlign w:val="center"/>
          </w:tcPr>
          <w:p>
            <w:pPr>
              <w:widowControl/>
              <w:spacing w:line="440" w:lineRule="exact"/>
              <w:ind w:firstLine="0" w:firstLineChars="0"/>
              <w:jc w:val="center"/>
              <w:textAlignment w:val="top"/>
              <w:rPr>
                <w:rFonts w:ascii="宋体" w:hAnsi="宋体" w:cs="宋体"/>
                <w:color w:val="FF0000"/>
                <w:sz w:val="21"/>
                <w:szCs w:val="21"/>
              </w:rPr>
            </w:pPr>
          </w:p>
        </w:tc>
        <w:tc>
          <w:tcPr>
            <w:tcW w:w="3486" w:type="dxa"/>
            <w:vAlign w:val="center"/>
          </w:tcPr>
          <w:p>
            <w:pPr>
              <w:pStyle w:val="6"/>
              <w:spacing w:line="440" w:lineRule="exact"/>
              <w:jc w:val="left"/>
              <w:outlineLvl w:val="2"/>
              <w:rPr>
                <w:rFonts w:hint="default" w:ascii="宋体" w:hAnsi="宋体" w:eastAsia="宋体" w:cs="仿宋"/>
                <w:color w:val="FF0000"/>
                <w:sz w:val="21"/>
                <w:szCs w:val="21"/>
                <w:lang w:val="en-US" w:eastAsia="zh-CN"/>
              </w:rPr>
            </w:pPr>
            <w:r>
              <w:rPr>
                <w:rFonts w:hint="eastAsia" w:ascii="宋体" w:hAnsi="宋体" w:eastAsia="宋体" w:cs="仿宋"/>
                <w:color w:val="FF0000"/>
                <w:sz w:val="21"/>
                <w:szCs w:val="21"/>
                <w:lang w:val="en-US" w:eastAsia="zh-CN"/>
              </w:rPr>
              <w:t>变数箱6档手自一体</w:t>
            </w:r>
          </w:p>
        </w:tc>
        <w:tc>
          <w:tcPr>
            <w:tcW w:w="1620" w:type="dxa"/>
            <w:vAlign w:val="center"/>
          </w:tcPr>
          <w:p>
            <w:pPr>
              <w:pStyle w:val="6"/>
              <w:spacing w:line="440" w:lineRule="exact"/>
              <w:jc w:val="center"/>
              <w:outlineLvl w:val="2"/>
              <w:rPr>
                <w:rFonts w:ascii="宋体" w:hAnsi="宋体" w:eastAsia="宋体" w:cs="仿宋"/>
                <w:color w:val="FF0000"/>
                <w:sz w:val="21"/>
                <w:szCs w:val="21"/>
              </w:rPr>
            </w:pPr>
          </w:p>
        </w:tc>
        <w:tc>
          <w:tcPr>
            <w:tcW w:w="1620" w:type="dxa"/>
            <w:vAlign w:val="center"/>
          </w:tcPr>
          <w:p>
            <w:pPr>
              <w:pStyle w:val="6"/>
              <w:spacing w:line="440" w:lineRule="exact"/>
              <w:jc w:val="center"/>
              <w:outlineLvl w:val="2"/>
              <w:rPr>
                <w:rFonts w:ascii="宋体" w:hAnsi="宋体" w:eastAsia="宋体" w:cs="仿宋"/>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91" w:type="dxa"/>
            <w:vMerge w:val="continue"/>
            <w:tcBorders/>
            <w:vAlign w:val="center"/>
          </w:tcPr>
          <w:p>
            <w:pPr>
              <w:widowControl/>
              <w:spacing w:line="440" w:lineRule="exact"/>
              <w:ind w:firstLine="0" w:firstLineChars="0"/>
              <w:jc w:val="center"/>
              <w:textAlignment w:val="top"/>
              <w:rPr>
                <w:rFonts w:ascii="宋体" w:hAnsi="宋体" w:cs="仿宋"/>
                <w:color w:val="FF0000"/>
                <w:sz w:val="21"/>
                <w:szCs w:val="21"/>
              </w:rPr>
            </w:pPr>
          </w:p>
        </w:tc>
        <w:tc>
          <w:tcPr>
            <w:tcW w:w="1431" w:type="dxa"/>
            <w:vMerge w:val="continue"/>
            <w:tcBorders/>
            <w:vAlign w:val="center"/>
          </w:tcPr>
          <w:p>
            <w:pPr>
              <w:widowControl/>
              <w:spacing w:line="440" w:lineRule="exact"/>
              <w:ind w:firstLine="0" w:firstLineChars="0"/>
              <w:jc w:val="center"/>
              <w:textAlignment w:val="top"/>
              <w:rPr>
                <w:rFonts w:ascii="宋体" w:hAnsi="宋体" w:cs="宋体"/>
                <w:color w:val="FF0000"/>
                <w:sz w:val="21"/>
                <w:szCs w:val="21"/>
              </w:rPr>
            </w:pPr>
          </w:p>
        </w:tc>
        <w:tc>
          <w:tcPr>
            <w:tcW w:w="3486" w:type="dxa"/>
            <w:vAlign w:val="center"/>
          </w:tcPr>
          <w:p>
            <w:pPr>
              <w:pStyle w:val="6"/>
              <w:spacing w:line="440" w:lineRule="exact"/>
              <w:jc w:val="left"/>
              <w:outlineLvl w:val="2"/>
              <w:rPr>
                <w:rFonts w:ascii="宋体" w:hAnsi="宋体" w:eastAsia="宋体" w:cs="仿宋"/>
                <w:color w:val="FF0000"/>
                <w:sz w:val="21"/>
                <w:szCs w:val="21"/>
              </w:rPr>
            </w:pPr>
            <w:r>
              <w:rPr>
                <w:rFonts w:hint="eastAsia" w:ascii="宋体" w:hAnsi="宋体" w:eastAsia="宋体" w:cs="仿宋"/>
                <w:color w:val="FF0000"/>
                <w:sz w:val="21"/>
                <w:szCs w:val="21"/>
              </w:rPr>
              <w:t>长度5010-4840(mm)</w:t>
            </w:r>
          </w:p>
        </w:tc>
        <w:tc>
          <w:tcPr>
            <w:tcW w:w="1620" w:type="dxa"/>
            <w:vAlign w:val="center"/>
          </w:tcPr>
          <w:p>
            <w:pPr>
              <w:pStyle w:val="6"/>
              <w:spacing w:line="440" w:lineRule="exact"/>
              <w:jc w:val="center"/>
              <w:outlineLvl w:val="2"/>
              <w:rPr>
                <w:rFonts w:ascii="宋体" w:hAnsi="宋体" w:eastAsia="宋体" w:cs="仿宋"/>
                <w:color w:val="FF0000"/>
                <w:sz w:val="21"/>
                <w:szCs w:val="21"/>
              </w:rPr>
            </w:pPr>
          </w:p>
        </w:tc>
        <w:tc>
          <w:tcPr>
            <w:tcW w:w="1620" w:type="dxa"/>
            <w:vAlign w:val="center"/>
          </w:tcPr>
          <w:p>
            <w:pPr>
              <w:pStyle w:val="6"/>
              <w:spacing w:line="440" w:lineRule="exact"/>
              <w:jc w:val="center"/>
              <w:outlineLvl w:val="2"/>
              <w:rPr>
                <w:rFonts w:ascii="宋体" w:hAnsi="宋体" w:eastAsia="宋体" w:cs="仿宋"/>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91" w:type="dxa"/>
            <w:vMerge w:val="continue"/>
            <w:tcBorders/>
            <w:vAlign w:val="center"/>
          </w:tcPr>
          <w:p>
            <w:pPr>
              <w:widowControl/>
              <w:spacing w:line="440" w:lineRule="exact"/>
              <w:ind w:firstLine="0" w:firstLineChars="0"/>
              <w:jc w:val="center"/>
              <w:textAlignment w:val="top"/>
              <w:rPr>
                <w:rFonts w:ascii="宋体" w:hAnsi="宋体" w:cs="仿宋"/>
                <w:color w:val="FF0000"/>
                <w:sz w:val="21"/>
                <w:szCs w:val="21"/>
              </w:rPr>
            </w:pPr>
          </w:p>
        </w:tc>
        <w:tc>
          <w:tcPr>
            <w:tcW w:w="1431" w:type="dxa"/>
            <w:vMerge w:val="continue"/>
            <w:tcBorders/>
            <w:vAlign w:val="center"/>
          </w:tcPr>
          <w:p>
            <w:pPr>
              <w:widowControl/>
              <w:spacing w:line="440" w:lineRule="exact"/>
              <w:ind w:firstLine="0" w:firstLineChars="0"/>
              <w:jc w:val="center"/>
              <w:textAlignment w:val="top"/>
              <w:rPr>
                <w:rFonts w:ascii="宋体" w:hAnsi="宋体" w:cs="宋体"/>
                <w:color w:val="FF0000"/>
                <w:kern w:val="0"/>
                <w:sz w:val="21"/>
                <w:szCs w:val="21"/>
                <w:lang w:bidi="ar"/>
              </w:rPr>
            </w:pPr>
          </w:p>
        </w:tc>
        <w:tc>
          <w:tcPr>
            <w:tcW w:w="3486" w:type="dxa"/>
            <w:vAlign w:val="center"/>
          </w:tcPr>
          <w:p>
            <w:pPr>
              <w:pStyle w:val="6"/>
              <w:spacing w:line="440" w:lineRule="exact"/>
              <w:jc w:val="left"/>
              <w:outlineLvl w:val="2"/>
              <w:rPr>
                <w:rFonts w:ascii="宋体" w:hAnsi="宋体" w:eastAsia="宋体" w:cs="仿宋"/>
                <w:color w:val="FF0000"/>
                <w:sz w:val="21"/>
                <w:szCs w:val="21"/>
              </w:rPr>
            </w:pPr>
            <w:r>
              <w:rPr>
                <w:rFonts w:hint="eastAsia" w:ascii="宋体" w:hAnsi="宋体" w:eastAsia="宋体" w:cs="仿宋"/>
                <w:color w:val="FF0000"/>
                <w:sz w:val="21"/>
                <w:szCs w:val="21"/>
              </w:rPr>
              <w:t>宽度1885(mm)</w:t>
            </w:r>
          </w:p>
        </w:tc>
        <w:tc>
          <w:tcPr>
            <w:tcW w:w="1620" w:type="dxa"/>
            <w:vAlign w:val="center"/>
          </w:tcPr>
          <w:p>
            <w:pPr>
              <w:pStyle w:val="6"/>
              <w:spacing w:line="440" w:lineRule="exact"/>
              <w:jc w:val="center"/>
              <w:outlineLvl w:val="2"/>
              <w:rPr>
                <w:rFonts w:ascii="宋体" w:hAnsi="宋体" w:eastAsia="宋体" w:cs="仿宋"/>
                <w:color w:val="FF0000"/>
                <w:sz w:val="21"/>
                <w:szCs w:val="21"/>
              </w:rPr>
            </w:pPr>
          </w:p>
        </w:tc>
        <w:tc>
          <w:tcPr>
            <w:tcW w:w="1620" w:type="dxa"/>
            <w:vAlign w:val="center"/>
          </w:tcPr>
          <w:p>
            <w:pPr>
              <w:pStyle w:val="6"/>
              <w:spacing w:line="440" w:lineRule="exact"/>
              <w:jc w:val="center"/>
              <w:outlineLvl w:val="2"/>
              <w:rPr>
                <w:rFonts w:ascii="宋体" w:hAnsi="宋体" w:eastAsia="宋体" w:cs="仿宋"/>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91" w:type="dxa"/>
            <w:vMerge w:val="continue"/>
            <w:tcBorders/>
            <w:vAlign w:val="center"/>
          </w:tcPr>
          <w:p>
            <w:pPr>
              <w:widowControl/>
              <w:spacing w:line="440" w:lineRule="exact"/>
              <w:ind w:firstLine="0" w:firstLineChars="0"/>
              <w:jc w:val="center"/>
              <w:textAlignment w:val="top"/>
              <w:rPr>
                <w:rFonts w:ascii="宋体" w:hAnsi="宋体" w:cs="仿宋"/>
                <w:color w:val="FF0000"/>
                <w:kern w:val="0"/>
                <w:sz w:val="21"/>
                <w:szCs w:val="21"/>
                <w:lang w:bidi="ar"/>
              </w:rPr>
            </w:pPr>
          </w:p>
        </w:tc>
        <w:tc>
          <w:tcPr>
            <w:tcW w:w="1431" w:type="dxa"/>
            <w:vMerge w:val="continue"/>
            <w:tcBorders/>
            <w:vAlign w:val="center"/>
          </w:tcPr>
          <w:p>
            <w:pPr>
              <w:widowControl/>
              <w:spacing w:line="440" w:lineRule="exact"/>
              <w:ind w:firstLine="0" w:firstLineChars="0"/>
              <w:jc w:val="center"/>
              <w:textAlignment w:val="top"/>
              <w:rPr>
                <w:rFonts w:ascii="宋体" w:hAnsi="宋体" w:cs="宋体"/>
                <w:color w:val="FF0000"/>
                <w:kern w:val="0"/>
                <w:sz w:val="21"/>
                <w:szCs w:val="21"/>
                <w:lang w:bidi="ar"/>
              </w:rPr>
            </w:pPr>
          </w:p>
        </w:tc>
        <w:tc>
          <w:tcPr>
            <w:tcW w:w="3486" w:type="dxa"/>
            <w:vAlign w:val="center"/>
          </w:tcPr>
          <w:p>
            <w:pPr>
              <w:pStyle w:val="6"/>
              <w:spacing w:line="440" w:lineRule="exact"/>
              <w:jc w:val="left"/>
              <w:outlineLvl w:val="2"/>
              <w:rPr>
                <w:rFonts w:ascii="宋体" w:hAnsi="宋体" w:eastAsia="宋体" w:cs="仿宋"/>
                <w:color w:val="FF0000"/>
                <w:sz w:val="21"/>
                <w:szCs w:val="21"/>
              </w:rPr>
            </w:pPr>
            <w:r>
              <w:rPr>
                <w:rFonts w:hint="eastAsia" w:ascii="宋体" w:hAnsi="宋体" w:eastAsia="宋体" w:cs="仿宋"/>
                <w:color w:val="FF0000"/>
                <w:sz w:val="21"/>
                <w:szCs w:val="21"/>
              </w:rPr>
              <w:t>高度1890(mm)</w:t>
            </w:r>
          </w:p>
        </w:tc>
        <w:tc>
          <w:tcPr>
            <w:tcW w:w="1620" w:type="dxa"/>
            <w:vAlign w:val="center"/>
          </w:tcPr>
          <w:p>
            <w:pPr>
              <w:pStyle w:val="6"/>
              <w:spacing w:line="440" w:lineRule="exact"/>
              <w:jc w:val="center"/>
              <w:outlineLvl w:val="2"/>
              <w:rPr>
                <w:rFonts w:ascii="宋体" w:hAnsi="宋体" w:eastAsia="宋体" w:cs="仿宋"/>
                <w:color w:val="FF0000"/>
                <w:sz w:val="21"/>
                <w:szCs w:val="21"/>
              </w:rPr>
            </w:pPr>
          </w:p>
        </w:tc>
        <w:tc>
          <w:tcPr>
            <w:tcW w:w="1620" w:type="dxa"/>
            <w:vAlign w:val="center"/>
          </w:tcPr>
          <w:p>
            <w:pPr>
              <w:pStyle w:val="6"/>
              <w:spacing w:line="440" w:lineRule="exact"/>
              <w:jc w:val="center"/>
              <w:outlineLvl w:val="2"/>
              <w:rPr>
                <w:rFonts w:ascii="宋体" w:hAnsi="宋体" w:eastAsia="宋体" w:cs="仿宋"/>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591" w:type="dxa"/>
            <w:vMerge w:val="continue"/>
            <w:tcBorders/>
            <w:vAlign w:val="center"/>
          </w:tcPr>
          <w:p>
            <w:pPr>
              <w:widowControl/>
              <w:spacing w:line="440" w:lineRule="exact"/>
              <w:ind w:firstLine="0" w:firstLineChars="0"/>
              <w:jc w:val="center"/>
              <w:textAlignment w:val="top"/>
              <w:rPr>
                <w:rFonts w:ascii="宋体" w:hAnsi="宋体" w:cs="仿宋"/>
                <w:color w:val="FF0000"/>
                <w:kern w:val="0"/>
                <w:sz w:val="21"/>
                <w:szCs w:val="21"/>
                <w:lang w:bidi="ar"/>
              </w:rPr>
            </w:pPr>
          </w:p>
        </w:tc>
        <w:tc>
          <w:tcPr>
            <w:tcW w:w="1431" w:type="dxa"/>
            <w:vMerge w:val="continue"/>
            <w:tcBorders/>
            <w:vAlign w:val="center"/>
          </w:tcPr>
          <w:p>
            <w:pPr>
              <w:widowControl/>
              <w:spacing w:line="440" w:lineRule="exact"/>
              <w:ind w:firstLine="0" w:firstLineChars="0"/>
              <w:jc w:val="center"/>
              <w:textAlignment w:val="top"/>
              <w:rPr>
                <w:rFonts w:ascii="宋体" w:hAnsi="宋体" w:cs="宋体"/>
                <w:color w:val="FF0000"/>
                <w:kern w:val="0"/>
                <w:sz w:val="21"/>
                <w:szCs w:val="21"/>
                <w:lang w:bidi="ar"/>
              </w:rPr>
            </w:pPr>
          </w:p>
        </w:tc>
        <w:tc>
          <w:tcPr>
            <w:tcW w:w="3486" w:type="dxa"/>
            <w:vAlign w:val="center"/>
          </w:tcPr>
          <w:p>
            <w:pPr>
              <w:pStyle w:val="6"/>
              <w:spacing w:line="440" w:lineRule="exact"/>
              <w:jc w:val="left"/>
              <w:outlineLvl w:val="2"/>
              <w:rPr>
                <w:rFonts w:ascii="宋体" w:hAnsi="宋体" w:eastAsia="宋体" w:cs="仿宋"/>
                <w:color w:val="FF0000"/>
                <w:sz w:val="21"/>
                <w:szCs w:val="21"/>
              </w:rPr>
            </w:pPr>
            <w:r>
              <w:rPr>
                <w:rFonts w:hint="eastAsia" w:ascii="宋体" w:hAnsi="宋体" w:eastAsia="宋体" w:cs="仿宋"/>
                <w:color w:val="FF0000"/>
                <w:sz w:val="21"/>
                <w:szCs w:val="21"/>
              </w:rPr>
              <w:t>油箱容量87(升)</w:t>
            </w:r>
          </w:p>
        </w:tc>
        <w:tc>
          <w:tcPr>
            <w:tcW w:w="1620" w:type="dxa"/>
            <w:vAlign w:val="center"/>
          </w:tcPr>
          <w:p>
            <w:pPr>
              <w:pStyle w:val="6"/>
              <w:spacing w:line="440" w:lineRule="exact"/>
              <w:jc w:val="center"/>
              <w:outlineLvl w:val="2"/>
              <w:rPr>
                <w:rFonts w:ascii="宋体" w:hAnsi="宋体" w:eastAsia="宋体" w:cs="仿宋"/>
                <w:color w:val="FF0000"/>
                <w:sz w:val="21"/>
                <w:szCs w:val="21"/>
              </w:rPr>
            </w:pPr>
          </w:p>
        </w:tc>
        <w:tc>
          <w:tcPr>
            <w:tcW w:w="1620" w:type="dxa"/>
            <w:vAlign w:val="center"/>
          </w:tcPr>
          <w:p>
            <w:pPr>
              <w:pStyle w:val="6"/>
              <w:spacing w:line="440" w:lineRule="exact"/>
              <w:jc w:val="center"/>
              <w:outlineLvl w:val="2"/>
              <w:rPr>
                <w:rFonts w:ascii="宋体" w:hAnsi="宋体" w:eastAsia="宋体" w:cs="仿宋"/>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591" w:type="dxa"/>
            <w:vMerge w:val="continue"/>
            <w:tcBorders/>
            <w:vAlign w:val="center"/>
          </w:tcPr>
          <w:p>
            <w:pPr>
              <w:widowControl/>
              <w:spacing w:line="440" w:lineRule="exact"/>
              <w:ind w:firstLine="0" w:firstLineChars="0"/>
              <w:jc w:val="center"/>
              <w:textAlignment w:val="top"/>
              <w:rPr>
                <w:rFonts w:ascii="宋体" w:hAnsi="宋体" w:cs="仿宋"/>
                <w:color w:val="FF0000"/>
                <w:kern w:val="0"/>
                <w:sz w:val="21"/>
                <w:szCs w:val="21"/>
                <w:lang w:bidi="ar"/>
              </w:rPr>
            </w:pPr>
          </w:p>
        </w:tc>
        <w:tc>
          <w:tcPr>
            <w:tcW w:w="1431" w:type="dxa"/>
            <w:vMerge w:val="continue"/>
            <w:tcBorders/>
            <w:vAlign w:val="center"/>
          </w:tcPr>
          <w:p>
            <w:pPr>
              <w:widowControl/>
              <w:spacing w:line="440" w:lineRule="exact"/>
              <w:ind w:firstLine="0" w:firstLineChars="0"/>
              <w:jc w:val="center"/>
              <w:textAlignment w:val="top"/>
              <w:rPr>
                <w:rFonts w:ascii="宋体" w:hAnsi="宋体" w:cs="宋体"/>
                <w:color w:val="FF0000"/>
                <w:kern w:val="0"/>
                <w:sz w:val="21"/>
                <w:szCs w:val="21"/>
                <w:lang w:bidi="ar"/>
              </w:rPr>
            </w:pPr>
          </w:p>
        </w:tc>
        <w:tc>
          <w:tcPr>
            <w:tcW w:w="3486" w:type="dxa"/>
            <w:vAlign w:val="center"/>
          </w:tcPr>
          <w:p>
            <w:pPr>
              <w:pStyle w:val="6"/>
              <w:spacing w:line="440" w:lineRule="exact"/>
              <w:jc w:val="left"/>
              <w:outlineLvl w:val="2"/>
              <w:rPr>
                <w:rFonts w:ascii="宋体" w:hAnsi="宋体" w:eastAsia="宋体" w:cs="仿宋"/>
                <w:color w:val="FF0000"/>
                <w:sz w:val="21"/>
                <w:szCs w:val="21"/>
              </w:rPr>
            </w:pPr>
            <w:r>
              <w:rPr>
                <w:rFonts w:hint="eastAsia" w:ascii="宋体" w:hAnsi="宋体" w:eastAsia="宋体" w:cs="仿宋"/>
                <w:color w:val="FF0000"/>
                <w:sz w:val="21"/>
                <w:szCs w:val="21"/>
              </w:rPr>
              <w:t>整备质量2285（kg）</w:t>
            </w:r>
          </w:p>
        </w:tc>
        <w:tc>
          <w:tcPr>
            <w:tcW w:w="1620" w:type="dxa"/>
            <w:vAlign w:val="center"/>
          </w:tcPr>
          <w:p>
            <w:pPr>
              <w:pStyle w:val="6"/>
              <w:spacing w:line="440" w:lineRule="exact"/>
              <w:jc w:val="center"/>
              <w:outlineLvl w:val="2"/>
              <w:rPr>
                <w:rFonts w:ascii="宋体" w:hAnsi="宋体" w:eastAsia="宋体" w:cs="仿宋"/>
                <w:color w:val="FF0000"/>
                <w:sz w:val="21"/>
                <w:szCs w:val="21"/>
              </w:rPr>
            </w:pPr>
          </w:p>
        </w:tc>
        <w:tc>
          <w:tcPr>
            <w:tcW w:w="1620" w:type="dxa"/>
            <w:vAlign w:val="center"/>
          </w:tcPr>
          <w:p>
            <w:pPr>
              <w:pStyle w:val="6"/>
              <w:spacing w:line="440" w:lineRule="exact"/>
              <w:jc w:val="center"/>
              <w:outlineLvl w:val="2"/>
              <w:rPr>
                <w:rFonts w:ascii="宋体" w:hAnsi="宋体" w:eastAsia="宋体" w:cs="仿宋"/>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591" w:type="dxa"/>
            <w:vMerge w:val="continue"/>
            <w:tcBorders/>
            <w:vAlign w:val="center"/>
          </w:tcPr>
          <w:p>
            <w:pPr>
              <w:widowControl/>
              <w:spacing w:line="440" w:lineRule="exact"/>
              <w:ind w:firstLine="0" w:firstLineChars="0"/>
              <w:jc w:val="center"/>
              <w:textAlignment w:val="top"/>
              <w:rPr>
                <w:rFonts w:ascii="宋体" w:hAnsi="宋体" w:cs="仿宋"/>
                <w:color w:val="FF0000"/>
                <w:kern w:val="0"/>
                <w:sz w:val="21"/>
                <w:szCs w:val="21"/>
                <w:lang w:bidi="ar"/>
              </w:rPr>
            </w:pPr>
          </w:p>
        </w:tc>
        <w:tc>
          <w:tcPr>
            <w:tcW w:w="1431" w:type="dxa"/>
            <w:vMerge w:val="continue"/>
            <w:tcBorders/>
            <w:vAlign w:val="center"/>
          </w:tcPr>
          <w:p>
            <w:pPr>
              <w:widowControl/>
              <w:spacing w:line="440" w:lineRule="exact"/>
              <w:ind w:firstLine="0" w:firstLineChars="0"/>
              <w:jc w:val="center"/>
              <w:textAlignment w:val="top"/>
              <w:rPr>
                <w:rFonts w:ascii="宋体" w:hAnsi="宋体" w:cs="宋体"/>
                <w:color w:val="FF0000"/>
                <w:kern w:val="0"/>
                <w:sz w:val="21"/>
                <w:szCs w:val="21"/>
                <w:lang w:bidi="ar"/>
              </w:rPr>
            </w:pPr>
          </w:p>
        </w:tc>
        <w:tc>
          <w:tcPr>
            <w:tcW w:w="3486" w:type="dxa"/>
            <w:vAlign w:val="center"/>
          </w:tcPr>
          <w:p>
            <w:pPr>
              <w:pStyle w:val="6"/>
              <w:spacing w:line="440" w:lineRule="exact"/>
              <w:jc w:val="left"/>
              <w:outlineLvl w:val="2"/>
              <w:rPr>
                <w:rFonts w:ascii="宋体" w:hAnsi="宋体" w:eastAsia="宋体" w:cs="仿宋"/>
                <w:color w:val="FF0000"/>
                <w:sz w:val="21"/>
                <w:szCs w:val="21"/>
              </w:rPr>
            </w:pPr>
            <w:r>
              <w:rPr>
                <w:rFonts w:hint="eastAsia" w:ascii="宋体" w:hAnsi="宋体" w:eastAsia="宋体" w:cs="仿宋"/>
                <w:color w:val="FF0000"/>
                <w:sz w:val="21"/>
                <w:szCs w:val="21"/>
              </w:rPr>
              <w:t>最大马力280(ps)</w:t>
            </w:r>
          </w:p>
        </w:tc>
        <w:tc>
          <w:tcPr>
            <w:tcW w:w="1620" w:type="dxa"/>
            <w:vAlign w:val="center"/>
          </w:tcPr>
          <w:p>
            <w:pPr>
              <w:pStyle w:val="6"/>
              <w:spacing w:line="440" w:lineRule="exact"/>
              <w:jc w:val="center"/>
              <w:outlineLvl w:val="2"/>
              <w:rPr>
                <w:rFonts w:ascii="宋体" w:hAnsi="宋体" w:eastAsia="宋体" w:cs="仿宋"/>
                <w:color w:val="FF0000"/>
                <w:sz w:val="21"/>
                <w:szCs w:val="21"/>
              </w:rPr>
            </w:pPr>
          </w:p>
        </w:tc>
        <w:tc>
          <w:tcPr>
            <w:tcW w:w="1620" w:type="dxa"/>
            <w:vAlign w:val="center"/>
          </w:tcPr>
          <w:p>
            <w:pPr>
              <w:pStyle w:val="6"/>
              <w:spacing w:line="440" w:lineRule="exact"/>
              <w:jc w:val="center"/>
              <w:outlineLvl w:val="2"/>
              <w:rPr>
                <w:rFonts w:ascii="宋体" w:hAnsi="宋体" w:eastAsia="宋体" w:cs="仿宋"/>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3" w:hRule="atLeast"/>
        </w:trPr>
        <w:tc>
          <w:tcPr>
            <w:tcW w:w="1591" w:type="dxa"/>
            <w:vMerge w:val="continue"/>
            <w:tcBorders/>
            <w:vAlign w:val="center"/>
          </w:tcPr>
          <w:p>
            <w:pPr>
              <w:widowControl/>
              <w:spacing w:line="440" w:lineRule="exact"/>
              <w:ind w:firstLine="0" w:firstLineChars="0"/>
              <w:jc w:val="center"/>
              <w:textAlignment w:val="top"/>
              <w:rPr>
                <w:rFonts w:ascii="宋体" w:hAnsi="宋体" w:cs="仿宋"/>
                <w:color w:val="FF0000"/>
                <w:kern w:val="0"/>
                <w:sz w:val="21"/>
                <w:szCs w:val="21"/>
                <w:lang w:bidi="ar"/>
              </w:rPr>
            </w:pPr>
          </w:p>
        </w:tc>
        <w:tc>
          <w:tcPr>
            <w:tcW w:w="1431" w:type="dxa"/>
            <w:vMerge w:val="continue"/>
            <w:tcBorders/>
            <w:vAlign w:val="center"/>
          </w:tcPr>
          <w:p>
            <w:pPr>
              <w:widowControl/>
              <w:spacing w:line="440" w:lineRule="exact"/>
              <w:ind w:firstLine="0" w:firstLineChars="0"/>
              <w:jc w:val="center"/>
              <w:textAlignment w:val="top"/>
              <w:rPr>
                <w:rFonts w:ascii="宋体" w:hAnsi="宋体" w:cs="宋体"/>
                <w:color w:val="FF0000"/>
                <w:kern w:val="0"/>
                <w:sz w:val="21"/>
                <w:szCs w:val="21"/>
                <w:lang w:bidi="ar"/>
              </w:rPr>
            </w:pPr>
          </w:p>
        </w:tc>
        <w:tc>
          <w:tcPr>
            <w:tcW w:w="3486" w:type="dxa"/>
            <w:vAlign w:val="center"/>
          </w:tcPr>
          <w:p>
            <w:pPr>
              <w:pStyle w:val="6"/>
              <w:spacing w:line="440" w:lineRule="exact"/>
              <w:jc w:val="left"/>
              <w:outlineLvl w:val="2"/>
              <w:rPr>
                <w:rFonts w:ascii="宋体" w:hAnsi="宋体" w:eastAsia="宋体" w:cs="仿宋"/>
                <w:color w:val="FF0000"/>
                <w:sz w:val="21"/>
                <w:szCs w:val="21"/>
              </w:rPr>
            </w:pPr>
            <w:r>
              <w:rPr>
                <w:rFonts w:hint="eastAsia" w:ascii="宋体" w:hAnsi="宋体" w:eastAsia="宋体" w:cs="仿宋"/>
                <w:color w:val="FF0000"/>
                <w:sz w:val="21"/>
                <w:szCs w:val="21"/>
              </w:rPr>
              <w:t>电动调节真皮座椅、通风加热、行李架、DVD可视倒车雷达、冰箱、电动折叠后视镜等</w:t>
            </w:r>
          </w:p>
        </w:tc>
        <w:tc>
          <w:tcPr>
            <w:tcW w:w="1620" w:type="dxa"/>
            <w:vAlign w:val="center"/>
          </w:tcPr>
          <w:p>
            <w:pPr>
              <w:pStyle w:val="6"/>
              <w:spacing w:line="440" w:lineRule="exact"/>
              <w:jc w:val="center"/>
              <w:outlineLvl w:val="2"/>
              <w:rPr>
                <w:rFonts w:ascii="宋体" w:hAnsi="宋体" w:eastAsia="宋体" w:cs="仿宋"/>
                <w:color w:val="FF0000"/>
                <w:sz w:val="21"/>
                <w:szCs w:val="21"/>
              </w:rPr>
            </w:pPr>
          </w:p>
        </w:tc>
        <w:tc>
          <w:tcPr>
            <w:tcW w:w="1620" w:type="dxa"/>
            <w:vAlign w:val="center"/>
          </w:tcPr>
          <w:p>
            <w:pPr>
              <w:pStyle w:val="6"/>
              <w:spacing w:line="440" w:lineRule="exact"/>
              <w:jc w:val="center"/>
              <w:outlineLvl w:val="2"/>
              <w:rPr>
                <w:rFonts w:ascii="宋体" w:hAnsi="宋体" w:eastAsia="宋体" w:cs="仿宋"/>
                <w:color w:val="FF0000"/>
                <w:sz w:val="21"/>
                <w:szCs w:val="21"/>
              </w:rPr>
            </w:pPr>
          </w:p>
        </w:tc>
      </w:tr>
    </w:tbl>
    <w:p>
      <w:pPr>
        <w:adjustRightInd w:val="0"/>
        <w:snapToGrid w:val="0"/>
        <w:spacing w:line="400" w:lineRule="exact"/>
        <w:ind w:firstLine="732" w:firstLineChars="300"/>
        <w:rPr>
          <w:rFonts w:ascii="宋体" w:hAnsi="宋体"/>
          <w:color w:val="FF0000"/>
          <w:spacing w:val="2"/>
          <w:sz w:val="24"/>
          <w:szCs w:val="24"/>
        </w:rPr>
      </w:pPr>
      <w:r>
        <w:rPr>
          <w:rFonts w:hint="eastAsia" w:ascii="宋体" w:hAnsi="宋体"/>
          <w:color w:val="FF0000"/>
          <w:spacing w:val="2"/>
          <w:sz w:val="24"/>
          <w:szCs w:val="24"/>
          <w:lang w:val="en-US" w:eastAsia="zh-CN"/>
        </w:rPr>
        <w:t>注：附拟投入车辆相关证明材料</w:t>
      </w:r>
      <w:r>
        <w:rPr>
          <w:rFonts w:hint="eastAsia" w:ascii="宋体" w:hAnsi="宋体"/>
          <w:color w:val="FF0000"/>
          <w:spacing w:val="2"/>
          <w:sz w:val="24"/>
          <w:szCs w:val="24"/>
        </w:rPr>
        <w:t>；</w:t>
      </w:r>
    </w:p>
    <w:p>
      <w:pPr>
        <w:spacing w:line="440" w:lineRule="exact"/>
        <w:ind w:firstLine="400"/>
        <w:jc w:val="center"/>
        <w:rPr>
          <w:rFonts w:ascii="Times New Roman" w:hAnsi="Times New Roman" w:eastAsia="黑体"/>
          <w:color w:val="FF0000"/>
          <w:sz w:val="27"/>
          <w:szCs w:val="27"/>
        </w:rPr>
      </w:pPr>
      <w:r>
        <w:rPr>
          <w:rFonts w:ascii="Times New Roman" w:hAnsi="Times New Roman" w:eastAsia="黑体"/>
          <w:color w:val="FF0000"/>
          <w:sz w:val="20"/>
        </w:rPr>
        <w:br w:type="page"/>
      </w:r>
    </w:p>
    <w:p>
      <w:pPr>
        <w:pStyle w:val="5"/>
        <w:ind w:firstLine="562"/>
        <w:rPr>
          <w:rFonts w:ascii="Times New Roman" w:hAnsi="Times New Roman"/>
          <w:color w:val="FF0000"/>
        </w:rPr>
      </w:pPr>
      <w:bookmarkStart w:id="442" w:name="_Toc485218079"/>
      <w:bookmarkStart w:id="443" w:name="_Toc29463"/>
      <w:r>
        <w:rPr>
          <w:rFonts w:hint="eastAsia" w:ascii="Times New Roman" w:hAnsi="Times New Roman"/>
          <w:color w:val="FF0000"/>
          <w:lang w:val="en-US" w:eastAsia="zh-CN"/>
        </w:rPr>
        <w:t>六</w:t>
      </w:r>
      <w:r>
        <w:rPr>
          <w:rFonts w:ascii="Times New Roman" w:hAnsi="Times New Roman"/>
          <w:color w:val="FF0000"/>
        </w:rPr>
        <w:t>、报价表</w:t>
      </w:r>
      <w:bookmarkEnd w:id="442"/>
      <w:bookmarkEnd w:id="443"/>
    </w:p>
    <w:p>
      <w:pPr>
        <w:spacing w:line="440" w:lineRule="exact"/>
        <w:ind w:firstLine="480"/>
        <w:jc w:val="center"/>
        <w:rPr>
          <w:rFonts w:ascii="Times New Roman" w:hAnsi="Times New Roman"/>
          <w:color w:val="FF0000"/>
          <w:szCs w:val="21"/>
        </w:rPr>
      </w:pPr>
      <w:r>
        <w:rPr>
          <w:rFonts w:hint="eastAsia" w:ascii="Times New Roman" w:hAnsi="Times New Roman"/>
          <w:color w:val="FF0000"/>
          <w:szCs w:val="21"/>
          <w:lang w:val="en-US" w:eastAsia="zh-CN"/>
        </w:rPr>
        <w:t xml:space="preserve">                                                    </w:t>
      </w:r>
      <w:r>
        <w:rPr>
          <w:rFonts w:hint="eastAsia" w:ascii="Times New Roman" w:hAnsi="Times New Roman"/>
          <w:color w:val="FF0000"/>
          <w:szCs w:val="21"/>
        </w:rPr>
        <w:t>单位：人民币元</w:t>
      </w:r>
    </w:p>
    <w:tbl>
      <w:tblPr>
        <w:tblStyle w:val="29"/>
        <w:tblW w:w="8746" w:type="dxa"/>
        <w:jc w:val="center"/>
        <w:tblLayout w:type="fixed"/>
        <w:tblCellMar>
          <w:top w:w="0" w:type="dxa"/>
          <w:left w:w="108" w:type="dxa"/>
          <w:bottom w:w="0" w:type="dxa"/>
          <w:right w:w="108" w:type="dxa"/>
        </w:tblCellMar>
      </w:tblPr>
      <w:tblGrid>
        <w:gridCol w:w="1087"/>
        <w:gridCol w:w="2111"/>
        <w:gridCol w:w="1389"/>
        <w:gridCol w:w="1011"/>
        <w:gridCol w:w="1326"/>
        <w:gridCol w:w="1822"/>
      </w:tblGrid>
      <w:tr>
        <w:tblPrEx>
          <w:tblCellMar>
            <w:top w:w="0" w:type="dxa"/>
            <w:left w:w="108" w:type="dxa"/>
            <w:bottom w:w="0" w:type="dxa"/>
            <w:right w:w="108" w:type="dxa"/>
          </w:tblCellMar>
        </w:tblPrEx>
        <w:trPr>
          <w:trHeight w:val="565"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0" w:firstLineChars="0"/>
              <w:jc w:val="center"/>
              <w:rPr>
                <w:rFonts w:ascii="宋体" w:hAnsi="宋体" w:cs="仿宋"/>
                <w:b/>
                <w:color w:val="FF0000"/>
                <w:kern w:val="0"/>
                <w:sz w:val="21"/>
                <w:szCs w:val="21"/>
              </w:rPr>
            </w:pPr>
            <w:r>
              <w:rPr>
                <w:rFonts w:hint="eastAsia" w:ascii="宋体" w:hAnsi="宋体" w:cs="仿宋"/>
                <w:b/>
                <w:color w:val="FF0000"/>
                <w:kern w:val="0"/>
                <w:sz w:val="21"/>
                <w:szCs w:val="21"/>
              </w:rPr>
              <w:t>序号</w:t>
            </w:r>
          </w:p>
        </w:tc>
        <w:tc>
          <w:tcPr>
            <w:tcW w:w="2111" w:type="dxa"/>
            <w:tcBorders>
              <w:top w:val="single" w:color="auto" w:sz="4" w:space="0"/>
              <w:left w:val="nil"/>
              <w:bottom w:val="single" w:color="auto" w:sz="4" w:space="0"/>
              <w:right w:val="single" w:color="auto" w:sz="4" w:space="0"/>
            </w:tcBorders>
            <w:vAlign w:val="center"/>
          </w:tcPr>
          <w:p>
            <w:pPr>
              <w:widowControl/>
              <w:spacing w:line="440" w:lineRule="exact"/>
              <w:ind w:firstLine="0" w:firstLineChars="0"/>
              <w:jc w:val="center"/>
              <w:rPr>
                <w:rFonts w:ascii="宋体" w:hAnsi="宋体" w:cs="仿宋"/>
                <w:b/>
                <w:color w:val="FF0000"/>
                <w:kern w:val="0"/>
                <w:sz w:val="21"/>
                <w:szCs w:val="21"/>
              </w:rPr>
            </w:pPr>
            <w:r>
              <w:rPr>
                <w:rFonts w:hint="eastAsia" w:ascii="宋体" w:hAnsi="宋体" w:cs="仿宋"/>
                <w:b/>
                <w:color w:val="FF0000"/>
                <w:sz w:val="21"/>
                <w:szCs w:val="21"/>
              </w:rPr>
              <w:t>设备名称</w:t>
            </w:r>
          </w:p>
        </w:tc>
        <w:tc>
          <w:tcPr>
            <w:tcW w:w="1389" w:type="dxa"/>
            <w:tcBorders>
              <w:top w:val="single" w:color="auto" w:sz="4" w:space="0"/>
              <w:left w:val="nil"/>
              <w:bottom w:val="single" w:color="auto" w:sz="4" w:space="0"/>
              <w:right w:val="single" w:color="auto" w:sz="4" w:space="0"/>
            </w:tcBorders>
            <w:vAlign w:val="center"/>
          </w:tcPr>
          <w:p>
            <w:pPr>
              <w:widowControl/>
              <w:spacing w:line="440" w:lineRule="exact"/>
              <w:ind w:firstLine="0" w:firstLineChars="0"/>
              <w:jc w:val="center"/>
              <w:rPr>
                <w:rFonts w:ascii="宋体" w:hAnsi="宋体" w:cs="仿宋"/>
                <w:b/>
                <w:color w:val="FF0000"/>
                <w:kern w:val="0"/>
                <w:sz w:val="21"/>
                <w:szCs w:val="21"/>
              </w:rPr>
            </w:pPr>
            <w:r>
              <w:rPr>
                <w:rFonts w:hint="eastAsia" w:ascii="宋体" w:hAnsi="宋体" w:cs="仿宋"/>
                <w:b/>
                <w:color w:val="FF0000"/>
                <w:kern w:val="0"/>
                <w:sz w:val="21"/>
                <w:szCs w:val="21"/>
              </w:rPr>
              <w:t>单位</w:t>
            </w:r>
          </w:p>
        </w:tc>
        <w:tc>
          <w:tcPr>
            <w:tcW w:w="1011" w:type="dxa"/>
            <w:tcBorders>
              <w:top w:val="single" w:color="auto" w:sz="4" w:space="0"/>
              <w:left w:val="nil"/>
              <w:bottom w:val="single" w:color="auto" w:sz="4" w:space="0"/>
              <w:right w:val="single" w:color="auto" w:sz="4" w:space="0"/>
            </w:tcBorders>
            <w:vAlign w:val="center"/>
          </w:tcPr>
          <w:p>
            <w:pPr>
              <w:widowControl/>
              <w:spacing w:line="440" w:lineRule="exact"/>
              <w:ind w:firstLine="0" w:firstLineChars="0"/>
              <w:jc w:val="center"/>
              <w:rPr>
                <w:rFonts w:ascii="宋体" w:hAnsi="宋体" w:cs="仿宋"/>
                <w:b/>
                <w:color w:val="FF0000"/>
                <w:kern w:val="0"/>
                <w:sz w:val="21"/>
                <w:szCs w:val="21"/>
              </w:rPr>
            </w:pPr>
            <w:r>
              <w:rPr>
                <w:rFonts w:hint="eastAsia" w:ascii="宋体" w:hAnsi="宋体" w:cs="仿宋"/>
                <w:b/>
                <w:color w:val="FF0000"/>
                <w:kern w:val="0"/>
                <w:sz w:val="21"/>
                <w:szCs w:val="21"/>
              </w:rPr>
              <w:t>数量</w:t>
            </w:r>
          </w:p>
        </w:tc>
        <w:tc>
          <w:tcPr>
            <w:tcW w:w="1326" w:type="dxa"/>
            <w:tcBorders>
              <w:top w:val="single" w:color="auto" w:sz="4" w:space="0"/>
              <w:left w:val="nil"/>
              <w:bottom w:val="single" w:color="auto" w:sz="4" w:space="0"/>
              <w:right w:val="single" w:color="auto" w:sz="4" w:space="0"/>
            </w:tcBorders>
            <w:vAlign w:val="center"/>
          </w:tcPr>
          <w:p>
            <w:pPr>
              <w:widowControl/>
              <w:spacing w:line="440" w:lineRule="exact"/>
              <w:ind w:firstLine="0" w:firstLineChars="0"/>
              <w:jc w:val="center"/>
              <w:rPr>
                <w:rFonts w:ascii="宋体" w:hAnsi="宋体" w:cs="仿宋"/>
                <w:b/>
                <w:color w:val="FF0000"/>
                <w:kern w:val="0"/>
                <w:sz w:val="21"/>
                <w:szCs w:val="21"/>
              </w:rPr>
            </w:pPr>
            <w:r>
              <w:rPr>
                <w:rFonts w:hint="eastAsia" w:ascii="宋体" w:hAnsi="宋体" w:cs="仿宋"/>
                <w:b/>
                <w:color w:val="FF0000"/>
                <w:kern w:val="0"/>
                <w:sz w:val="21"/>
                <w:szCs w:val="21"/>
              </w:rPr>
              <w:t>单价（元）</w:t>
            </w:r>
          </w:p>
        </w:tc>
        <w:tc>
          <w:tcPr>
            <w:tcW w:w="1822" w:type="dxa"/>
            <w:tcBorders>
              <w:top w:val="single" w:color="auto" w:sz="4" w:space="0"/>
              <w:left w:val="nil"/>
              <w:bottom w:val="single" w:color="auto" w:sz="4" w:space="0"/>
              <w:right w:val="single" w:color="auto" w:sz="4" w:space="0"/>
            </w:tcBorders>
            <w:vAlign w:val="center"/>
          </w:tcPr>
          <w:p>
            <w:pPr>
              <w:widowControl/>
              <w:spacing w:line="440" w:lineRule="exact"/>
              <w:ind w:firstLine="0" w:firstLineChars="0"/>
              <w:jc w:val="center"/>
              <w:rPr>
                <w:rFonts w:ascii="宋体" w:hAnsi="宋体" w:cs="仿宋"/>
                <w:b/>
                <w:color w:val="FF0000"/>
                <w:kern w:val="0"/>
                <w:sz w:val="21"/>
                <w:szCs w:val="21"/>
              </w:rPr>
            </w:pPr>
            <w:r>
              <w:rPr>
                <w:rFonts w:hint="eastAsia" w:ascii="宋体" w:hAnsi="宋体" w:cs="仿宋"/>
                <w:b/>
                <w:color w:val="FF0000"/>
                <w:kern w:val="0"/>
                <w:sz w:val="21"/>
                <w:szCs w:val="21"/>
              </w:rPr>
              <w:t>总价（元）</w:t>
            </w:r>
          </w:p>
        </w:tc>
      </w:tr>
      <w:tr>
        <w:tblPrEx>
          <w:tblCellMar>
            <w:top w:w="0" w:type="dxa"/>
            <w:left w:w="108" w:type="dxa"/>
            <w:bottom w:w="0" w:type="dxa"/>
            <w:right w:w="108" w:type="dxa"/>
          </w:tblCellMar>
        </w:tblPrEx>
        <w:trPr>
          <w:trHeight w:val="1781" w:hRule="atLeast"/>
          <w:jc w:val="center"/>
        </w:trPr>
        <w:tc>
          <w:tcPr>
            <w:tcW w:w="1087" w:type="dxa"/>
            <w:tcBorders>
              <w:top w:val="nil"/>
              <w:left w:val="single" w:color="auto" w:sz="4" w:space="0"/>
              <w:bottom w:val="single" w:color="auto" w:sz="4" w:space="0"/>
              <w:right w:val="single" w:color="auto" w:sz="4" w:space="0"/>
            </w:tcBorders>
            <w:vAlign w:val="center"/>
          </w:tcPr>
          <w:p>
            <w:pPr>
              <w:widowControl/>
              <w:spacing w:line="440" w:lineRule="exact"/>
              <w:ind w:firstLine="0" w:firstLineChars="0"/>
              <w:jc w:val="center"/>
              <w:textAlignment w:val="top"/>
              <w:rPr>
                <w:rFonts w:ascii="宋体" w:hAnsi="宋体" w:cs="仿宋"/>
                <w:color w:val="FF0000"/>
                <w:kern w:val="0"/>
                <w:sz w:val="21"/>
                <w:szCs w:val="21"/>
              </w:rPr>
            </w:pPr>
            <w:r>
              <w:rPr>
                <w:rFonts w:hint="eastAsia" w:ascii="宋体" w:hAnsi="宋体" w:cs="仿宋"/>
                <w:color w:val="FF0000"/>
                <w:kern w:val="0"/>
                <w:sz w:val="21"/>
                <w:szCs w:val="21"/>
                <w:lang w:bidi="ar"/>
              </w:rPr>
              <w:t>1</w:t>
            </w:r>
          </w:p>
        </w:tc>
        <w:tc>
          <w:tcPr>
            <w:tcW w:w="2111" w:type="dxa"/>
            <w:tcBorders>
              <w:top w:val="nil"/>
              <w:left w:val="nil"/>
              <w:bottom w:val="single" w:color="auto" w:sz="4" w:space="0"/>
              <w:right w:val="single" w:color="auto" w:sz="4" w:space="0"/>
            </w:tcBorders>
            <w:vAlign w:val="center"/>
          </w:tcPr>
          <w:p>
            <w:pPr>
              <w:widowControl/>
              <w:spacing w:line="440" w:lineRule="exact"/>
              <w:ind w:firstLine="0" w:firstLineChars="0"/>
              <w:jc w:val="center"/>
              <w:textAlignment w:val="top"/>
              <w:rPr>
                <w:rFonts w:ascii="宋体" w:hAnsi="宋体" w:cs="宋体"/>
                <w:color w:val="FF0000"/>
                <w:sz w:val="21"/>
                <w:szCs w:val="21"/>
              </w:rPr>
            </w:pPr>
            <w:r>
              <w:rPr>
                <w:rFonts w:hint="eastAsia" w:ascii="宋体" w:hAnsi="宋体" w:cs="宋体"/>
                <w:color w:val="FF0000"/>
                <w:sz w:val="21"/>
                <w:szCs w:val="21"/>
                <w:lang w:val="en-US" w:eastAsia="zh-CN"/>
              </w:rPr>
              <w:t>丰田越野车</w:t>
            </w:r>
          </w:p>
        </w:tc>
        <w:tc>
          <w:tcPr>
            <w:tcW w:w="1389" w:type="dxa"/>
            <w:tcBorders>
              <w:top w:val="single" w:color="auto" w:sz="4" w:space="0"/>
              <w:left w:val="nil"/>
              <w:bottom w:val="single" w:color="auto" w:sz="4" w:space="0"/>
              <w:right w:val="single" w:color="auto" w:sz="4" w:space="0"/>
            </w:tcBorders>
            <w:vAlign w:val="center"/>
          </w:tcPr>
          <w:p>
            <w:pPr>
              <w:widowControl/>
              <w:spacing w:line="440" w:lineRule="exact"/>
              <w:ind w:firstLine="0" w:firstLineChars="0"/>
              <w:jc w:val="center"/>
              <w:textAlignment w:val="top"/>
              <w:rPr>
                <w:rFonts w:ascii="宋体" w:hAnsi="宋体" w:cs="宋体"/>
                <w:color w:val="FF0000"/>
                <w:sz w:val="21"/>
                <w:szCs w:val="21"/>
              </w:rPr>
            </w:pPr>
            <w:r>
              <w:rPr>
                <w:rFonts w:hint="eastAsia" w:ascii="宋体" w:hAnsi="宋体" w:cs="宋体"/>
                <w:color w:val="FF0000"/>
                <w:kern w:val="0"/>
                <w:sz w:val="21"/>
                <w:szCs w:val="21"/>
                <w:lang w:bidi="ar"/>
              </w:rPr>
              <w:t>台</w:t>
            </w:r>
          </w:p>
        </w:tc>
        <w:tc>
          <w:tcPr>
            <w:tcW w:w="1011" w:type="dxa"/>
            <w:tcBorders>
              <w:top w:val="single" w:color="auto" w:sz="4" w:space="0"/>
              <w:left w:val="nil"/>
              <w:bottom w:val="single" w:color="auto" w:sz="4" w:space="0"/>
              <w:right w:val="single" w:color="auto" w:sz="4" w:space="0"/>
            </w:tcBorders>
            <w:vAlign w:val="center"/>
          </w:tcPr>
          <w:p>
            <w:pPr>
              <w:widowControl/>
              <w:spacing w:line="440" w:lineRule="exact"/>
              <w:ind w:firstLine="0" w:firstLineChars="0"/>
              <w:jc w:val="center"/>
              <w:textAlignment w:val="top"/>
              <w:rPr>
                <w:rFonts w:hint="eastAsia" w:ascii="宋体" w:hAnsi="宋体" w:eastAsia="宋体" w:cs="宋体"/>
                <w:color w:val="FF0000"/>
                <w:kern w:val="0"/>
                <w:sz w:val="21"/>
                <w:szCs w:val="21"/>
                <w:lang w:eastAsia="zh-CN" w:bidi="ar"/>
              </w:rPr>
            </w:pPr>
            <w:r>
              <w:rPr>
                <w:rFonts w:hint="eastAsia" w:ascii="宋体" w:hAnsi="宋体" w:cs="宋体"/>
                <w:color w:val="FF0000"/>
                <w:kern w:val="0"/>
                <w:sz w:val="21"/>
                <w:szCs w:val="21"/>
                <w:lang w:val="en-US" w:eastAsia="zh-CN" w:bidi="ar"/>
              </w:rPr>
              <w:t>4</w:t>
            </w:r>
          </w:p>
        </w:tc>
        <w:tc>
          <w:tcPr>
            <w:tcW w:w="1326" w:type="dxa"/>
            <w:tcBorders>
              <w:top w:val="nil"/>
              <w:left w:val="nil"/>
              <w:bottom w:val="single" w:color="auto" w:sz="4" w:space="0"/>
              <w:right w:val="single" w:color="auto" w:sz="4" w:space="0"/>
            </w:tcBorders>
            <w:vAlign w:val="center"/>
          </w:tcPr>
          <w:p>
            <w:pPr>
              <w:widowControl/>
              <w:spacing w:line="440" w:lineRule="exact"/>
              <w:ind w:firstLine="0" w:firstLineChars="0"/>
              <w:jc w:val="center"/>
              <w:rPr>
                <w:rFonts w:ascii="宋体" w:hAnsi="宋体" w:cs="仿宋"/>
                <w:color w:val="FF0000"/>
                <w:kern w:val="0"/>
                <w:sz w:val="21"/>
                <w:szCs w:val="21"/>
              </w:rPr>
            </w:pPr>
          </w:p>
        </w:tc>
        <w:tc>
          <w:tcPr>
            <w:tcW w:w="1822" w:type="dxa"/>
            <w:tcBorders>
              <w:top w:val="nil"/>
              <w:left w:val="nil"/>
              <w:bottom w:val="single" w:color="auto" w:sz="4" w:space="0"/>
              <w:right w:val="single" w:color="auto" w:sz="4" w:space="0"/>
            </w:tcBorders>
            <w:vAlign w:val="center"/>
          </w:tcPr>
          <w:p>
            <w:pPr>
              <w:widowControl/>
              <w:spacing w:line="440" w:lineRule="exact"/>
              <w:ind w:firstLine="0" w:firstLineChars="0"/>
              <w:jc w:val="center"/>
              <w:rPr>
                <w:rFonts w:ascii="宋体" w:hAnsi="宋体" w:cs="仿宋"/>
                <w:color w:val="FF0000"/>
                <w:kern w:val="0"/>
                <w:sz w:val="21"/>
                <w:szCs w:val="21"/>
              </w:rPr>
            </w:pPr>
          </w:p>
        </w:tc>
      </w:tr>
      <w:tr>
        <w:tblPrEx>
          <w:tblCellMar>
            <w:top w:w="0" w:type="dxa"/>
            <w:left w:w="108" w:type="dxa"/>
            <w:bottom w:w="0" w:type="dxa"/>
            <w:right w:w="108" w:type="dxa"/>
          </w:tblCellMar>
        </w:tblPrEx>
        <w:trPr>
          <w:trHeight w:val="2248" w:hRule="atLeast"/>
          <w:jc w:val="center"/>
        </w:trPr>
        <w:tc>
          <w:tcPr>
            <w:tcW w:w="6924" w:type="dxa"/>
            <w:gridSpan w:val="5"/>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0" w:firstLineChars="0"/>
              <w:jc w:val="center"/>
              <w:rPr>
                <w:rFonts w:ascii="宋体" w:hAnsi="宋体" w:cs="仿宋"/>
                <w:color w:val="FF0000"/>
                <w:kern w:val="0"/>
                <w:sz w:val="21"/>
                <w:szCs w:val="21"/>
              </w:rPr>
            </w:pPr>
            <w:r>
              <w:rPr>
                <w:rFonts w:hint="eastAsia" w:ascii="宋体" w:hAnsi="宋体" w:cs="仿宋"/>
                <w:b/>
                <w:color w:val="FF0000"/>
                <w:kern w:val="0"/>
                <w:sz w:val="21"/>
                <w:szCs w:val="21"/>
              </w:rPr>
              <w:t>合计</w:t>
            </w:r>
          </w:p>
        </w:tc>
        <w:tc>
          <w:tcPr>
            <w:tcW w:w="182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0" w:firstLineChars="0"/>
              <w:jc w:val="left"/>
              <w:rPr>
                <w:rFonts w:ascii="宋体" w:hAnsi="宋体" w:cs="仿宋"/>
                <w:color w:val="FF0000"/>
                <w:kern w:val="0"/>
                <w:sz w:val="21"/>
                <w:szCs w:val="21"/>
              </w:rPr>
            </w:pPr>
            <w:bookmarkStart w:id="444" w:name="_GoBack"/>
            <w:bookmarkEnd w:id="444"/>
          </w:p>
        </w:tc>
      </w:tr>
    </w:tbl>
    <w:p>
      <w:pPr>
        <w:rPr>
          <w:color w:val="FF0000"/>
        </w:rPr>
      </w:pPr>
    </w:p>
    <w:p>
      <w:pPr>
        <w:pStyle w:val="2"/>
        <w:rPr>
          <w:color w:val="FF0000"/>
        </w:rPr>
      </w:pPr>
    </w:p>
    <w:p>
      <w:pPr>
        <w:spacing w:line="440" w:lineRule="exact"/>
        <w:ind w:firstLine="480"/>
        <w:rPr>
          <w:rFonts w:ascii="Times New Roman" w:hAnsi="Times New Roman"/>
          <w:color w:val="FF0000"/>
          <w:u w:val="single"/>
        </w:rPr>
      </w:pPr>
    </w:p>
    <w:bookmarkEnd w:id="439"/>
    <w:p>
      <w:pPr>
        <w:spacing w:line="440" w:lineRule="exact"/>
        <w:ind w:firstLine="0" w:firstLineChars="0"/>
        <w:rPr>
          <w:rFonts w:ascii="Times New Roman" w:hAnsi="Times New Roman"/>
          <w:color w:val="FF0000"/>
          <w:sz w:val="20"/>
        </w:rPr>
      </w:pPr>
    </w:p>
    <w:sectPr>
      <w:pgSz w:w="12240" w:h="15840"/>
      <w:pgMar w:top="1440" w:right="1080" w:bottom="1440" w:left="1080" w:header="720" w:footer="720" w:gutter="0"/>
      <w:cols w:space="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20"/>
        <w:tab w:val="clear" w:pos="4153"/>
      </w:tabs>
      <w:ind w:firstLine="360"/>
      <w:jc w:val="both"/>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8"/>
                  <w:ind w:firstLine="360"/>
                </w:pPr>
                <w:r>
                  <w:fldChar w:fldCharType="begin"/>
                </w:r>
                <w:r>
                  <w:instrText xml:space="preserve"> PAGE  \* MERGEFORMAT </w:instrText>
                </w:r>
                <w:r>
                  <w:fldChar w:fldCharType="separate"/>
                </w:r>
                <w:r>
                  <w:t>2</w:t>
                </w:r>
                <w:r>
                  <w:fldChar w:fldCharType="end"/>
                </w:r>
              </w:p>
            </w:txbxContent>
          </v:textbox>
        </v:shape>
      </w:pict>
    </w:r>
    <w: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ind w:firstLine="360"/>
                  <w:jc w:val="center"/>
                </w:pPr>
              </w:p>
              <w:p>
                <w:pPr>
                  <w:ind w:firstLine="480"/>
                </w:pPr>
              </w:p>
            </w:txbxContent>
          </v:textbox>
        </v:shape>
      </w:pict>
    </w:r>
  </w:p>
  <w:p>
    <w:pPr>
      <w:pStyle w:val="1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9F9BC9"/>
    <w:multiLevelType w:val="singleLevel"/>
    <w:tmpl w:val="F39F9BC9"/>
    <w:lvl w:ilvl="0" w:tentative="0">
      <w:start w:val="1"/>
      <w:numFmt w:val="decimal"/>
      <w:suff w:val="nothing"/>
      <w:lvlText w:val="%1．"/>
      <w:lvlJc w:val="left"/>
    </w:lvl>
  </w:abstractNum>
  <w:abstractNum w:abstractNumId="1">
    <w:nsid w:val="5E8C7133"/>
    <w:multiLevelType w:val="multilevel"/>
    <w:tmpl w:val="5E8C71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20"/>
  <w:drawingGridVerticalSpacing w:val="156"/>
  <w:displayHorizontalDrawingGridEvery w:val="2"/>
  <w:noPunctuationKerning w:val="1"/>
  <w:characterSpacingControl w:val="compressPunctuation"/>
  <w:doNotValidateAgainstSchema/>
  <w:doNotDemarcateInvalidXml/>
  <w:hdr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DA4"/>
    <w:rsid w:val="00002A60"/>
    <w:rsid w:val="00003E80"/>
    <w:rsid w:val="00004603"/>
    <w:rsid w:val="0000635E"/>
    <w:rsid w:val="00007319"/>
    <w:rsid w:val="000106AE"/>
    <w:rsid w:val="00010B53"/>
    <w:rsid w:val="000122C9"/>
    <w:rsid w:val="00012703"/>
    <w:rsid w:val="0001485E"/>
    <w:rsid w:val="000201BC"/>
    <w:rsid w:val="0002193F"/>
    <w:rsid w:val="00021BFE"/>
    <w:rsid w:val="000250D6"/>
    <w:rsid w:val="00025ACC"/>
    <w:rsid w:val="00025EC4"/>
    <w:rsid w:val="00026171"/>
    <w:rsid w:val="000303E1"/>
    <w:rsid w:val="000351AE"/>
    <w:rsid w:val="00043778"/>
    <w:rsid w:val="0004602C"/>
    <w:rsid w:val="000473DB"/>
    <w:rsid w:val="00051E22"/>
    <w:rsid w:val="00062AC6"/>
    <w:rsid w:val="00067035"/>
    <w:rsid w:val="00071FA8"/>
    <w:rsid w:val="0008132B"/>
    <w:rsid w:val="00081360"/>
    <w:rsid w:val="0008253E"/>
    <w:rsid w:val="00086DFA"/>
    <w:rsid w:val="000943B0"/>
    <w:rsid w:val="00094C66"/>
    <w:rsid w:val="000A287B"/>
    <w:rsid w:val="000A5C81"/>
    <w:rsid w:val="000A76B3"/>
    <w:rsid w:val="000B65E2"/>
    <w:rsid w:val="000C0018"/>
    <w:rsid w:val="000C00CE"/>
    <w:rsid w:val="000C1A9B"/>
    <w:rsid w:val="000C2AB5"/>
    <w:rsid w:val="000C4710"/>
    <w:rsid w:val="000D4336"/>
    <w:rsid w:val="000D49B4"/>
    <w:rsid w:val="000D4E08"/>
    <w:rsid w:val="000E08CB"/>
    <w:rsid w:val="000E31CE"/>
    <w:rsid w:val="000E5673"/>
    <w:rsid w:val="000E5AFA"/>
    <w:rsid w:val="000F2186"/>
    <w:rsid w:val="000F2A12"/>
    <w:rsid w:val="000F2ECC"/>
    <w:rsid w:val="000F60E5"/>
    <w:rsid w:val="000F6666"/>
    <w:rsid w:val="001011FC"/>
    <w:rsid w:val="00102618"/>
    <w:rsid w:val="00105423"/>
    <w:rsid w:val="00105DC8"/>
    <w:rsid w:val="001119B6"/>
    <w:rsid w:val="00115124"/>
    <w:rsid w:val="00115848"/>
    <w:rsid w:val="00117C57"/>
    <w:rsid w:val="00117F0F"/>
    <w:rsid w:val="0013146C"/>
    <w:rsid w:val="0014098E"/>
    <w:rsid w:val="00152524"/>
    <w:rsid w:val="001530C6"/>
    <w:rsid w:val="00153B32"/>
    <w:rsid w:val="001613DD"/>
    <w:rsid w:val="001658EF"/>
    <w:rsid w:val="00172A27"/>
    <w:rsid w:val="001735B4"/>
    <w:rsid w:val="001748A3"/>
    <w:rsid w:val="00175F7A"/>
    <w:rsid w:val="00182B11"/>
    <w:rsid w:val="00183B4A"/>
    <w:rsid w:val="00192979"/>
    <w:rsid w:val="00193C1D"/>
    <w:rsid w:val="00196869"/>
    <w:rsid w:val="00196965"/>
    <w:rsid w:val="00197AD8"/>
    <w:rsid w:val="001A093D"/>
    <w:rsid w:val="001A0CCF"/>
    <w:rsid w:val="001A19E0"/>
    <w:rsid w:val="001A2B51"/>
    <w:rsid w:val="001A2E05"/>
    <w:rsid w:val="001A4491"/>
    <w:rsid w:val="001A4684"/>
    <w:rsid w:val="001B7FEF"/>
    <w:rsid w:val="001C30C7"/>
    <w:rsid w:val="001C38D5"/>
    <w:rsid w:val="001D0A88"/>
    <w:rsid w:val="001E1433"/>
    <w:rsid w:val="001E6637"/>
    <w:rsid w:val="001F1644"/>
    <w:rsid w:val="001F2208"/>
    <w:rsid w:val="001F4134"/>
    <w:rsid w:val="001F45EE"/>
    <w:rsid w:val="001F4850"/>
    <w:rsid w:val="001F5634"/>
    <w:rsid w:val="00204A5C"/>
    <w:rsid w:val="00207A0B"/>
    <w:rsid w:val="00212A53"/>
    <w:rsid w:val="0021322F"/>
    <w:rsid w:val="00213B90"/>
    <w:rsid w:val="00215AF0"/>
    <w:rsid w:val="0021677A"/>
    <w:rsid w:val="002229E2"/>
    <w:rsid w:val="0022434B"/>
    <w:rsid w:val="00232364"/>
    <w:rsid w:val="00232596"/>
    <w:rsid w:val="0023423F"/>
    <w:rsid w:val="00236570"/>
    <w:rsid w:val="00237422"/>
    <w:rsid w:val="00237B0E"/>
    <w:rsid w:val="00240884"/>
    <w:rsid w:val="002430C2"/>
    <w:rsid w:val="0024723C"/>
    <w:rsid w:val="00251109"/>
    <w:rsid w:val="00251A49"/>
    <w:rsid w:val="0025460A"/>
    <w:rsid w:val="00255D0D"/>
    <w:rsid w:val="0025671F"/>
    <w:rsid w:val="00260793"/>
    <w:rsid w:val="00260B7B"/>
    <w:rsid w:val="00260C77"/>
    <w:rsid w:val="00261352"/>
    <w:rsid w:val="00263F0B"/>
    <w:rsid w:val="00264CEC"/>
    <w:rsid w:val="00264EB1"/>
    <w:rsid w:val="002718DC"/>
    <w:rsid w:val="00276C71"/>
    <w:rsid w:val="00281526"/>
    <w:rsid w:val="00282FB1"/>
    <w:rsid w:val="00285406"/>
    <w:rsid w:val="00286C1A"/>
    <w:rsid w:val="002A14CD"/>
    <w:rsid w:val="002A552C"/>
    <w:rsid w:val="002A5AF9"/>
    <w:rsid w:val="002A65ED"/>
    <w:rsid w:val="002A71FE"/>
    <w:rsid w:val="002C0C29"/>
    <w:rsid w:val="002C7B9B"/>
    <w:rsid w:val="002D2B90"/>
    <w:rsid w:val="002D5C6F"/>
    <w:rsid w:val="002D6F32"/>
    <w:rsid w:val="002E1DAC"/>
    <w:rsid w:val="002E6D05"/>
    <w:rsid w:val="002F095C"/>
    <w:rsid w:val="002F4E05"/>
    <w:rsid w:val="002F59B3"/>
    <w:rsid w:val="002F72A0"/>
    <w:rsid w:val="003013D1"/>
    <w:rsid w:val="00303961"/>
    <w:rsid w:val="00311324"/>
    <w:rsid w:val="003122C4"/>
    <w:rsid w:val="00314103"/>
    <w:rsid w:val="00314C76"/>
    <w:rsid w:val="00317712"/>
    <w:rsid w:val="0032031D"/>
    <w:rsid w:val="00321647"/>
    <w:rsid w:val="00321989"/>
    <w:rsid w:val="003243EC"/>
    <w:rsid w:val="003247CD"/>
    <w:rsid w:val="003362AD"/>
    <w:rsid w:val="00337CAE"/>
    <w:rsid w:val="00342688"/>
    <w:rsid w:val="0034440E"/>
    <w:rsid w:val="00346B10"/>
    <w:rsid w:val="00347899"/>
    <w:rsid w:val="003518D6"/>
    <w:rsid w:val="00354B7A"/>
    <w:rsid w:val="00363966"/>
    <w:rsid w:val="003741B0"/>
    <w:rsid w:val="00377BA4"/>
    <w:rsid w:val="0038240C"/>
    <w:rsid w:val="0038359A"/>
    <w:rsid w:val="00387996"/>
    <w:rsid w:val="003916CE"/>
    <w:rsid w:val="00391F03"/>
    <w:rsid w:val="003A2368"/>
    <w:rsid w:val="003A3EF2"/>
    <w:rsid w:val="003A55CF"/>
    <w:rsid w:val="003A5B10"/>
    <w:rsid w:val="003A6775"/>
    <w:rsid w:val="003B3719"/>
    <w:rsid w:val="003B41C4"/>
    <w:rsid w:val="003C0D7D"/>
    <w:rsid w:val="003C3469"/>
    <w:rsid w:val="003C4858"/>
    <w:rsid w:val="003C5BB3"/>
    <w:rsid w:val="003C663D"/>
    <w:rsid w:val="003C72D9"/>
    <w:rsid w:val="003D1170"/>
    <w:rsid w:val="003D1B8E"/>
    <w:rsid w:val="003D2D72"/>
    <w:rsid w:val="003D36EE"/>
    <w:rsid w:val="003D515C"/>
    <w:rsid w:val="003D6E0A"/>
    <w:rsid w:val="003F1CDB"/>
    <w:rsid w:val="003F34F7"/>
    <w:rsid w:val="003F3518"/>
    <w:rsid w:val="003F504F"/>
    <w:rsid w:val="003F5B69"/>
    <w:rsid w:val="0040256F"/>
    <w:rsid w:val="00403934"/>
    <w:rsid w:val="00407F6A"/>
    <w:rsid w:val="004105EF"/>
    <w:rsid w:val="004125A8"/>
    <w:rsid w:val="00413A55"/>
    <w:rsid w:val="00415A1A"/>
    <w:rsid w:val="0042326A"/>
    <w:rsid w:val="00423F96"/>
    <w:rsid w:val="0042619D"/>
    <w:rsid w:val="00431F4F"/>
    <w:rsid w:val="0043351E"/>
    <w:rsid w:val="00433676"/>
    <w:rsid w:val="00436504"/>
    <w:rsid w:val="004405C7"/>
    <w:rsid w:val="00441D39"/>
    <w:rsid w:val="0044250A"/>
    <w:rsid w:val="00442AF8"/>
    <w:rsid w:val="0044514A"/>
    <w:rsid w:val="0044616E"/>
    <w:rsid w:val="00447E59"/>
    <w:rsid w:val="004553C2"/>
    <w:rsid w:val="004579D9"/>
    <w:rsid w:val="00457DC2"/>
    <w:rsid w:val="004733D3"/>
    <w:rsid w:val="00487315"/>
    <w:rsid w:val="00494624"/>
    <w:rsid w:val="00495001"/>
    <w:rsid w:val="004A07F3"/>
    <w:rsid w:val="004A112E"/>
    <w:rsid w:val="004A5FF2"/>
    <w:rsid w:val="004A76F2"/>
    <w:rsid w:val="004B51E3"/>
    <w:rsid w:val="004B6ED7"/>
    <w:rsid w:val="004C16FA"/>
    <w:rsid w:val="004D1209"/>
    <w:rsid w:val="004D4247"/>
    <w:rsid w:val="004D7237"/>
    <w:rsid w:val="004D794D"/>
    <w:rsid w:val="004D7FCB"/>
    <w:rsid w:val="004E0C05"/>
    <w:rsid w:val="004E2F27"/>
    <w:rsid w:val="004E3473"/>
    <w:rsid w:val="004F1425"/>
    <w:rsid w:val="004F3309"/>
    <w:rsid w:val="005034E3"/>
    <w:rsid w:val="0050739A"/>
    <w:rsid w:val="005100DC"/>
    <w:rsid w:val="00511660"/>
    <w:rsid w:val="00512A0D"/>
    <w:rsid w:val="00517CCE"/>
    <w:rsid w:val="0052194C"/>
    <w:rsid w:val="005229A0"/>
    <w:rsid w:val="00522D50"/>
    <w:rsid w:val="005275D1"/>
    <w:rsid w:val="00527D92"/>
    <w:rsid w:val="00531BAF"/>
    <w:rsid w:val="00533F21"/>
    <w:rsid w:val="00537781"/>
    <w:rsid w:val="005409DB"/>
    <w:rsid w:val="00542C62"/>
    <w:rsid w:val="00543F5F"/>
    <w:rsid w:val="00545698"/>
    <w:rsid w:val="00545E0A"/>
    <w:rsid w:val="00546149"/>
    <w:rsid w:val="0054628B"/>
    <w:rsid w:val="0054730C"/>
    <w:rsid w:val="00555089"/>
    <w:rsid w:val="00555D50"/>
    <w:rsid w:val="005565F1"/>
    <w:rsid w:val="00562259"/>
    <w:rsid w:val="005655BD"/>
    <w:rsid w:val="005661E1"/>
    <w:rsid w:val="00571501"/>
    <w:rsid w:val="005716FB"/>
    <w:rsid w:val="00573B46"/>
    <w:rsid w:val="00573C8F"/>
    <w:rsid w:val="00574712"/>
    <w:rsid w:val="00576C5E"/>
    <w:rsid w:val="00577C17"/>
    <w:rsid w:val="005804CC"/>
    <w:rsid w:val="00580957"/>
    <w:rsid w:val="005818B8"/>
    <w:rsid w:val="005824FB"/>
    <w:rsid w:val="00586955"/>
    <w:rsid w:val="005870EB"/>
    <w:rsid w:val="00590665"/>
    <w:rsid w:val="00592DCF"/>
    <w:rsid w:val="005955BA"/>
    <w:rsid w:val="005A0B59"/>
    <w:rsid w:val="005A245A"/>
    <w:rsid w:val="005A2C7B"/>
    <w:rsid w:val="005A5198"/>
    <w:rsid w:val="005B0F9A"/>
    <w:rsid w:val="005B1A42"/>
    <w:rsid w:val="005B4DB1"/>
    <w:rsid w:val="005C162E"/>
    <w:rsid w:val="005C417A"/>
    <w:rsid w:val="005C6148"/>
    <w:rsid w:val="005D17AD"/>
    <w:rsid w:val="005D22FC"/>
    <w:rsid w:val="005D3D41"/>
    <w:rsid w:val="005D736F"/>
    <w:rsid w:val="005E03BC"/>
    <w:rsid w:val="005E4F70"/>
    <w:rsid w:val="005E7CE8"/>
    <w:rsid w:val="005F162E"/>
    <w:rsid w:val="005F16C3"/>
    <w:rsid w:val="005F328B"/>
    <w:rsid w:val="005F519E"/>
    <w:rsid w:val="005F6CFE"/>
    <w:rsid w:val="005F74F3"/>
    <w:rsid w:val="006041C3"/>
    <w:rsid w:val="006052FC"/>
    <w:rsid w:val="00605A28"/>
    <w:rsid w:val="00610BBF"/>
    <w:rsid w:val="00613FB5"/>
    <w:rsid w:val="00614E98"/>
    <w:rsid w:val="0062295C"/>
    <w:rsid w:val="00623AD2"/>
    <w:rsid w:val="00632B51"/>
    <w:rsid w:val="00633021"/>
    <w:rsid w:val="00636962"/>
    <w:rsid w:val="00637781"/>
    <w:rsid w:val="00644C71"/>
    <w:rsid w:val="006462FA"/>
    <w:rsid w:val="006474C8"/>
    <w:rsid w:val="0065762D"/>
    <w:rsid w:val="00660EBB"/>
    <w:rsid w:val="00663CC5"/>
    <w:rsid w:val="00670660"/>
    <w:rsid w:val="00680246"/>
    <w:rsid w:val="00681622"/>
    <w:rsid w:val="00682E40"/>
    <w:rsid w:val="00684D69"/>
    <w:rsid w:val="00686AF3"/>
    <w:rsid w:val="006928F3"/>
    <w:rsid w:val="006952F5"/>
    <w:rsid w:val="006A2E04"/>
    <w:rsid w:val="006A2F51"/>
    <w:rsid w:val="006A350C"/>
    <w:rsid w:val="006A5596"/>
    <w:rsid w:val="006A7FCB"/>
    <w:rsid w:val="006B268E"/>
    <w:rsid w:val="006B317B"/>
    <w:rsid w:val="006B4620"/>
    <w:rsid w:val="006B58FD"/>
    <w:rsid w:val="006C1B42"/>
    <w:rsid w:val="006C56C9"/>
    <w:rsid w:val="006D05E4"/>
    <w:rsid w:val="006D144F"/>
    <w:rsid w:val="006D567B"/>
    <w:rsid w:val="006E0B76"/>
    <w:rsid w:val="006E1CF0"/>
    <w:rsid w:val="006E2EB3"/>
    <w:rsid w:val="006E3EAB"/>
    <w:rsid w:val="006E521B"/>
    <w:rsid w:val="006E55B8"/>
    <w:rsid w:val="006E5AC6"/>
    <w:rsid w:val="006F30B4"/>
    <w:rsid w:val="006F3939"/>
    <w:rsid w:val="006F46C3"/>
    <w:rsid w:val="006F6E12"/>
    <w:rsid w:val="00701A84"/>
    <w:rsid w:val="00705859"/>
    <w:rsid w:val="007058F5"/>
    <w:rsid w:val="00706041"/>
    <w:rsid w:val="00706924"/>
    <w:rsid w:val="007123AF"/>
    <w:rsid w:val="00712A96"/>
    <w:rsid w:val="00721056"/>
    <w:rsid w:val="00723AEF"/>
    <w:rsid w:val="00725C94"/>
    <w:rsid w:val="00726A6C"/>
    <w:rsid w:val="00726B23"/>
    <w:rsid w:val="00726DB7"/>
    <w:rsid w:val="00727E29"/>
    <w:rsid w:val="00733083"/>
    <w:rsid w:val="00735916"/>
    <w:rsid w:val="00742B21"/>
    <w:rsid w:val="00744517"/>
    <w:rsid w:val="00746279"/>
    <w:rsid w:val="00750137"/>
    <w:rsid w:val="0075115C"/>
    <w:rsid w:val="00753094"/>
    <w:rsid w:val="00755157"/>
    <w:rsid w:val="00762C99"/>
    <w:rsid w:val="00766147"/>
    <w:rsid w:val="00766DD4"/>
    <w:rsid w:val="00770518"/>
    <w:rsid w:val="00770C01"/>
    <w:rsid w:val="007724D2"/>
    <w:rsid w:val="00772E30"/>
    <w:rsid w:val="007740A0"/>
    <w:rsid w:val="007769FC"/>
    <w:rsid w:val="00780470"/>
    <w:rsid w:val="007866A7"/>
    <w:rsid w:val="00787C3C"/>
    <w:rsid w:val="00790A94"/>
    <w:rsid w:val="007911B2"/>
    <w:rsid w:val="00797ACE"/>
    <w:rsid w:val="007A08F7"/>
    <w:rsid w:val="007A1E5B"/>
    <w:rsid w:val="007A36C9"/>
    <w:rsid w:val="007A5188"/>
    <w:rsid w:val="007A6512"/>
    <w:rsid w:val="007A67FD"/>
    <w:rsid w:val="007B2023"/>
    <w:rsid w:val="007B300E"/>
    <w:rsid w:val="007B3D71"/>
    <w:rsid w:val="007B5213"/>
    <w:rsid w:val="007B7DDF"/>
    <w:rsid w:val="007C292F"/>
    <w:rsid w:val="007D07A2"/>
    <w:rsid w:val="007D16DC"/>
    <w:rsid w:val="007D29C2"/>
    <w:rsid w:val="007D4C26"/>
    <w:rsid w:val="007D5CBB"/>
    <w:rsid w:val="007D6572"/>
    <w:rsid w:val="007E03BC"/>
    <w:rsid w:val="007E0563"/>
    <w:rsid w:val="007E6590"/>
    <w:rsid w:val="007E78FD"/>
    <w:rsid w:val="007F1191"/>
    <w:rsid w:val="007F33A5"/>
    <w:rsid w:val="007F6A96"/>
    <w:rsid w:val="007F6FAC"/>
    <w:rsid w:val="008016DA"/>
    <w:rsid w:val="00802B3E"/>
    <w:rsid w:val="00803D1B"/>
    <w:rsid w:val="00804854"/>
    <w:rsid w:val="00804F65"/>
    <w:rsid w:val="00804FEC"/>
    <w:rsid w:val="00805D01"/>
    <w:rsid w:val="00814ACE"/>
    <w:rsid w:val="00822B05"/>
    <w:rsid w:val="00823971"/>
    <w:rsid w:val="008261CA"/>
    <w:rsid w:val="00826534"/>
    <w:rsid w:val="00826C28"/>
    <w:rsid w:val="00826C97"/>
    <w:rsid w:val="00833E5B"/>
    <w:rsid w:val="0083572D"/>
    <w:rsid w:val="00842D0A"/>
    <w:rsid w:val="00844E5C"/>
    <w:rsid w:val="0084602F"/>
    <w:rsid w:val="00847145"/>
    <w:rsid w:val="00847755"/>
    <w:rsid w:val="00851334"/>
    <w:rsid w:val="00851FB3"/>
    <w:rsid w:val="0085267C"/>
    <w:rsid w:val="008567AE"/>
    <w:rsid w:val="008602E0"/>
    <w:rsid w:val="008625DD"/>
    <w:rsid w:val="008631FE"/>
    <w:rsid w:val="008634A5"/>
    <w:rsid w:val="00865A18"/>
    <w:rsid w:val="00866FD3"/>
    <w:rsid w:val="00873543"/>
    <w:rsid w:val="00877B50"/>
    <w:rsid w:val="00880C4E"/>
    <w:rsid w:val="00883A3E"/>
    <w:rsid w:val="00883D0F"/>
    <w:rsid w:val="00884003"/>
    <w:rsid w:val="00884568"/>
    <w:rsid w:val="00886B1A"/>
    <w:rsid w:val="00886D39"/>
    <w:rsid w:val="008A0C4A"/>
    <w:rsid w:val="008A3781"/>
    <w:rsid w:val="008A4C9A"/>
    <w:rsid w:val="008A4F8A"/>
    <w:rsid w:val="008A6265"/>
    <w:rsid w:val="008B4958"/>
    <w:rsid w:val="008C1A6B"/>
    <w:rsid w:val="008C4D93"/>
    <w:rsid w:val="008C7BEE"/>
    <w:rsid w:val="008D085E"/>
    <w:rsid w:val="008D0EA5"/>
    <w:rsid w:val="008D1879"/>
    <w:rsid w:val="008D1FEE"/>
    <w:rsid w:val="008D2B4F"/>
    <w:rsid w:val="008E478E"/>
    <w:rsid w:val="008F2DB6"/>
    <w:rsid w:val="008F78BF"/>
    <w:rsid w:val="0090152F"/>
    <w:rsid w:val="00905AE6"/>
    <w:rsid w:val="009102B1"/>
    <w:rsid w:val="00913849"/>
    <w:rsid w:val="00913DA9"/>
    <w:rsid w:val="00915BD0"/>
    <w:rsid w:val="009165B6"/>
    <w:rsid w:val="0091764F"/>
    <w:rsid w:val="009225F3"/>
    <w:rsid w:val="00922D1D"/>
    <w:rsid w:val="009240D0"/>
    <w:rsid w:val="0092577B"/>
    <w:rsid w:val="00926831"/>
    <w:rsid w:val="00927062"/>
    <w:rsid w:val="00930BA3"/>
    <w:rsid w:val="00937163"/>
    <w:rsid w:val="00941C6A"/>
    <w:rsid w:val="00942FF5"/>
    <w:rsid w:val="00943B39"/>
    <w:rsid w:val="00943F58"/>
    <w:rsid w:val="0094443B"/>
    <w:rsid w:val="0094784E"/>
    <w:rsid w:val="0094793B"/>
    <w:rsid w:val="00956336"/>
    <w:rsid w:val="0096197F"/>
    <w:rsid w:val="0096341D"/>
    <w:rsid w:val="00964108"/>
    <w:rsid w:val="00964882"/>
    <w:rsid w:val="009678EF"/>
    <w:rsid w:val="00972737"/>
    <w:rsid w:val="00972D10"/>
    <w:rsid w:val="00975526"/>
    <w:rsid w:val="00976894"/>
    <w:rsid w:val="00976E58"/>
    <w:rsid w:val="0098095B"/>
    <w:rsid w:val="00980CE5"/>
    <w:rsid w:val="00981293"/>
    <w:rsid w:val="009816BB"/>
    <w:rsid w:val="00984168"/>
    <w:rsid w:val="0098473F"/>
    <w:rsid w:val="00986130"/>
    <w:rsid w:val="009875FE"/>
    <w:rsid w:val="00987946"/>
    <w:rsid w:val="00990C32"/>
    <w:rsid w:val="009914DB"/>
    <w:rsid w:val="00993DD3"/>
    <w:rsid w:val="00996A73"/>
    <w:rsid w:val="0099765D"/>
    <w:rsid w:val="009A21F7"/>
    <w:rsid w:val="009A6828"/>
    <w:rsid w:val="009B0025"/>
    <w:rsid w:val="009B115E"/>
    <w:rsid w:val="009B499F"/>
    <w:rsid w:val="009B54E6"/>
    <w:rsid w:val="009B77FA"/>
    <w:rsid w:val="009C221B"/>
    <w:rsid w:val="009C2A4A"/>
    <w:rsid w:val="009C42F0"/>
    <w:rsid w:val="009C5D2B"/>
    <w:rsid w:val="009D0A6C"/>
    <w:rsid w:val="009E280D"/>
    <w:rsid w:val="009E3F33"/>
    <w:rsid w:val="009E5FA1"/>
    <w:rsid w:val="009E764B"/>
    <w:rsid w:val="009E77CE"/>
    <w:rsid w:val="009F1AC6"/>
    <w:rsid w:val="009F3D52"/>
    <w:rsid w:val="009F46DE"/>
    <w:rsid w:val="009F7053"/>
    <w:rsid w:val="00A00218"/>
    <w:rsid w:val="00A01041"/>
    <w:rsid w:val="00A013E6"/>
    <w:rsid w:val="00A02955"/>
    <w:rsid w:val="00A059CF"/>
    <w:rsid w:val="00A0604C"/>
    <w:rsid w:val="00A1202D"/>
    <w:rsid w:val="00A161A9"/>
    <w:rsid w:val="00A20C87"/>
    <w:rsid w:val="00A214E6"/>
    <w:rsid w:val="00A220E3"/>
    <w:rsid w:val="00A236AA"/>
    <w:rsid w:val="00A239C4"/>
    <w:rsid w:val="00A24AE5"/>
    <w:rsid w:val="00A24DBF"/>
    <w:rsid w:val="00A27AD2"/>
    <w:rsid w:val="00A31FBE"/>
    <w:rsid w:val="00A434EB"/>
    <w:rsid w:val="00A443E0"/>
    <w:rsid w:val="00A50EF9"/>
    <w:rsid w:val="00A51D94"/>
    <w:rsid w:val="00A64CFB"/>
    <w:rsid w:val="00A660F9"/>
    <w:rsid w:val="00A66809"/>
    <w:rsid w:val="00A7108D"/>
    <w:rsid w:val="00A71821"/>
    <w:rsid w:val="00A7425C"/>
    <w:rsid w:val="00A75AAB"/>
    <w:rsid w:val="00A77C2A"/>
    <w:rsid w:val="00A8366F"/>
    <w:rsid w:val="00A83ACD"/>
    <w:rsid w:val="00A86BC1"/>
    <w:rsid w:val="00A909F4"/>
    <w:rsid w:val="00A90FFC"/>
    <w:rsid w:val="00A92B42"/>
    <w:rsid w:val="00A93CEE"/>
    <w:rsid w:val="00A9453A"/>
    <w:rsid w:val="00A95DBF"/>
    <w:rsid w:val="00A97ECB"/>
    <w:rsid w:val="00AA77E6"/>
    <w:rsid w:val="00AA7EE8"/>
    <w:rsid w:val="00AB22FD"/>
    <w:rsid w:val="00AB249C"/>
    <w:rsid w:val="00AB3141"/>
    <w:rsid w:val="00AB5EF7"/>
    <w:rsid w:val="00AB609D"/>
    <w:rsid w:val="00AB66B8"/>
    <w:rsid w:val="00AC1A1E"/>
    <w:rsid w:val="00AC2268"/>
    <w:rsid w:val="00AC27AF"/>
    <w:rsid w:val="00AD75D8"/>
    <w:rsid w:val="00AD7CAC"/>
    <w:rsid w:val="00AD7DE4"/>
    <w:rsid w:val="00AE3D01"/>
    <w:rsid w:val="00AE4FC4"/>
    <w:rsid w:val="00AE5260"/>
    <w:rsid w:val="00AE5CF7"/>
    <w:rsid w:val="00AE5F5F"/>
    <w:rsid w:val="00AE67B6"/>
    <w:rsid w:val="00AF08A4"/>
    <w:rsid w:val="00AF3442"/>
    <w:rsid w:val="00AF49A0"/>
    <w:rsid w:val="00AF5D13"/>
    <w:rsid w:val="00AF6684"/>
    <w:rsid w:val="00AF7716"/>
    <w:rsid w:val="00AF7BB5"/>
    <w:rsid w:val="00AF7CFA"/>
    <w:rsid w:val="00B021E1"/>
    <w:rsid w:val="00B05EB7"/>
    <w:rsid w:val="00B0641E"/>
    <w:rsid w:val="00B1435B"/>
    <w:rsid w:val="00B17226"/>
    <w:rsid w:val="00B1739F"/>
    <w:rsid w:val="00B20435"/>
    <w:rsid w:val="00B2193F"/>
    <w:rsid w:val="00B25BFA"/>
    <w:rsid w:val="00B328DD"/>
    <w:rsid w:val="00B333E0"/>
    <w:rsid w:val="00B34169"/>
    <w:rsid w:val="00B40DB4"/>
    <w:rsid w:val="00B43529"/>
    <w:rsid w:val="00B441A3"/>
    <w:rsid w:val="00B45828"/>
    <w:rsid w:val="00B4788F"/>
    <w:rsid w:val="00B51807"/>
    <w:rsid w:val="00B51D11"/>
    <w:rsid w:val="00B52304"/>
    <w:rsid w:val="00B537AA"/>
    <w:rsid w:val="00B54BEC"/>
    <w:rsid w:val="00B568D1"/>
    <w:rsid w:val="00B56F9E"/>
    <w:rsid w:val="00B6040F"/>
    <w:rsid w:val="00B60D18"/>
    <w:rsid w:val="00B70AB4"/>
    <w:rsid w:val="00B7681D"/>
    <w:rsid w:val="00B770F9"/>
    <w:rsid w:val="00B82CF7"/>
    <w:rsid w:val="00B82E6C"/>
    <w:rsid w:val="00B83E5B"/>
    <w:rsid w:val="00B840FF"/>
    <w:rsid w:val="00B850F5"/>
    <w:rsid w:val="00B85D28"/>
    <w:rsid w:val="00B923D8"/>
    <w:rsid w:val="00B924CB"/>
    <w:rsid w:val="00BA0BF9"/>
    <w:rsid w:val="00BA1742"/>
    <w:rsid w:val="00BA6A1E"/>
    <w:rsid w:val="00BA779B"/>
    <w:rsid w:val="00BB14E3"/>
    <w:rsid w:val="00BB2113"/>
    <w:rsid w:val="00BB4F87"/>
    <w:rsid w:val="00BB6955"/>
    <w:rsid w:val="00BB7076"/>
    <w:rsid w:val="00BC0338"/>
    <w:rsid w:val="00BC31D7"/>
    <w:rsid w:val="00BC7BDB"/>
    <w:rsid w:val="00BD0888"/>
    <w:rsid w:val="00BD230A"/>
    <w:rsid w:val="00BD2382"/>
    <w:rsid w:val="00BD38A7"/>
    <w:rsid w:val="00BD4CB1"/>
    <w:rsid w:val="00BD5685"/>
    <w:rsid w:val="00BD58EC"/>
    <w:rsid w:val="00BD6C5E"/>
    <w:rsid w:val="00BD7122"/>
    <w:rsid w:val="00BE1F7A"/>
    <w:rsid w:val="00BF1F32"/>
    <w:rsid w:val="00BF208A"/>
    <w:rsid w:val="00BF5015"/>
    <w:rsid w:val="00BF760B"/>
    <w:rsid w:val="00BF7CA8"/>
    <w:rsid w:val="00C000E6"/>
    <w:rsid w:val="00C00921"/>
    <w:rsid w:val="00C070F9"/>
    <w:rsid w:val="00C10A53"/>
    <w:rsid w:val="00C11B1A"/>
    <w:rsid w:val="00C13846"/>
    <w:rsid w:val="00C1558A"/>
    <w:rsid w:val="00C16E65"/>
    <w:rsid w:val="00C409F2"/>
    <w:rsid w:val="00C40EFF"/>
    <w:rsid w:val="00C426BD"/>
    <w:rsid w:val="00C47287"/>
    <w:rsid w:val="00C50F27"/>
    <w:rsid w:val="00C561A1"/>
    <w:rsid w:val="00C57185"/>
    <w:rsid w:val="00C576DE"/>
    <w:rsid w:val="00C60374"/>
    <w:rsid w:val="00C61701"/>
    <w:rsid w:val="00C65F10"/>
    <w:rsid w:val="00C73E5F"/>
    <w:rsid w:val="00C74CE6"/>
    <w:rsid w:val="00C750F1"/>
    <w:rsid w:val="00C75D0D"/>
    <w:rsid w:val="00C77592"/>
    <w:rsid w:val="00C775F0"/>
    <w:rsid w:val="00C77D07"/>
    <w:rsid w:val="00C8459E"/>
    <w:rsid w:val="00C9312C"/>
    <w:rsid w:val="00C95BF2"/>
    <w:rsid w:val="00C9616D"/>
    <w:rsid w:val="00C97B27"/>
    <w:rsid w:val="00CA54D2"/>
    <w:rsid w:val="00CB2000"/>
    <w:rsid w:val="00CB621C"/>
    <w:rsid w:val="00CC02F2"/>
    <w:rsid w:val="00CC13CF"/>
    <w:rsid w:val="00CC2DBD"/>
    <w:rsid w:val="00CC3A27"/>
    <w:rsid w:val="00CC69FA"/>
    <w:rsid w:val="00CC6B34"/>
    <w:rsid w:val="00CC7127"/>
    <w:rsid w:val="00CD09B4"/>
    <w:rsid w:val="00CD6EE8"/>
    <w:rsid w:val="00CD7773"/>
    <w:rsid w:val="00CE517C"/>
    <w:rsid w:val="00CE691B"/>
    <w:rsid w:val="00CE78B9"/>
    <w:rsid w:val="00CF48A1"/>
    <w:rsid w:val="00CF5CD9"/>
    <w:rsid w:val="00CF67F1"/>
    <w:rsid w:val="00D004DE"/>
    <w:rsid w:val="00D01E73"/>
    <w:rsid w:val="00D030F7"/>
    <w:rsid w:val="00D0314D"/>
    <w:rsid w:val="00D05F0E"/>
    <w:rsid w:val="00D13DA8"/>
    <w:rsid w:val="00D243F6"/>
    <w:rsid w:val="00D2665C"/>
    <w:rsid w:val="00D267E9"/>
    <w:rsid w:val="00D31A22"/>
    <w:rsid w:val="00D32CD6"/>
    <w:rsid w:val="00D33E6D"/>
    <w:rsid w:val="00D355AF"/>
    <w:rsid w:val="00D4185E"/>
    <w:rsid w:val="00D41F1D"/>
    <w:rsid w:val="00D424F4"/>
    <w:rsid w:val="00D50E3E"/>
    <w:rsid w:val="00D61E00"/>
    <w:rsid w:val="00D70B9C"/>
    <w:rsid w:val="00D71AF2"/>
    <w:rsid w:val="00D72972"/>
    <w:rsid w:val="00D73671"/>
    <w:rsid w:val="00D74914"/>
    <w:rsid w:val="00D76110"/>
    <w:rsid w:val="00D765FC"/>
    <w:rsid w:val="00D8264B"/>
    <w:rsid w:val="00D9028D"/>
    <w:rsid w:val="00D91F21"/>
    <w:rsid w:val="00D935CD"/>
    <w:rsid w:val="00D94273"/>
    <w:rsid w:val="00D944A0"/>
    <w:rsid w:val="00D946E9"/>
    <w:rsid w:val="00DA7EB6"/>
    <w:rsid w:val="00DB01EA"/>
    <w:rsid w:val="00DB1008"/>
    <w:rsid w:val="00DB2502"/>
    <w:rsid w:val="00DB45CC"/>
    <w:rsid w:val="00DB7E41"/>
    <w:rsid w:val="00DC06AC"/>
    <w:rsid w:val="00DC0941"/>
    <w:rsid w:val="00DC1BF6"/>
    <w:rsid w:val="00DC2FDC"/>
    <w:rsid w:val="00DC3A4D"/>
    <w:rsid w:val="00DC4FA6"/>
    <w:rsid w:val="00DC500F"/>
    <w:rsid w:val="00DC76AE"/>
    <w:rsid w:val="00DD230C"/>
    <w:rsid w:val="00DD2358"/>
    <w:rsid w:val="00DD2814"/>
    <w:rsid w:val="00DE0C34"/>
    <w:rsid w:val="00DE0D0B"/>
    <w:rsid w:val="00DE2DF3"/>
    <w:rsid w:val="00DE3B31"/>
    <w:rsid w:val="00DE7014"/>
    <w:rsid w:val="00DF52FA"/>
    <w:rsid w:val="00DF6C28"/>
    <w:rsid w:val="00E00B48"/>
    <w:rsid w:val="00E030EE"/>
    <w:rsid w:val="00E07CC4"/>
    <w:rsid w:val="00E108C3"/>
    <w:rsid w:val="00E11F03"/>
    <w:rsid w:val="00E120B9"/>
    <w:rsid w:val="00E13758"/>
    <w:rsid w:val="00E148F3"/>
    <w:rsid w:val="00E151DA"/>
    <w:rsid w:val="00E15382"/>
    <w:rsid w:val="00E20944"/>
    <w:rsid w:val="00E238A2"/>
    <w:rsid w:val="00E3243B"/>
    <w:rsid w:val="00E33314"/>
    <w:rsid w:val="00E335D8"/>
    <w:rsid w:val="00E33707"/>
    <w:rsid w:val="00E34005"/>
    <w:rsid w:val="00E413AB"/>
    <w:rsid w:val="00E43274"/>
    <w:rsid w:val="00E4665E"/>
    <w:rsid w:val="00E47E75"/>
    <w:rsid w:val="00E52A64"/>
    <w:rsid w:val="00E53F38"/>
    <w:rsid w:val="00E561C6"/>
    <w:rsid w:val="00E64E71"/>
    <w:rsid w:val="00E73E35"/>
    <w:rsid w:val="00E77D31"/>
    <w:rsid w:val="00E807BA"/>
    <w:rsid w:val="00E80F7E"/>
    <w:rsid w:val="00E8164C"/>
    <w:rsid w:val="00E82B5F"/>
    <w:rsid w:val="00E83F3E"/>
    <w:rsid w:val="00E90D94"/>
    <w:rsid w:val="00E90E76"/>
    <w:rsid w:val="00E95194"/>
    <w:rsid w:val="00E953B7"/>
    <w:rsid w:val="00E96F65"/>
    <w:rsid w:val="00EA5BBB"/>
    <w:rsid w:val="00EB10A7"/>
    <w:rsid w:val="00EB2328"/>
    <w:rsid w:val="00EB48A2"/>
    <w:rsid w:val="00EB6DE7"/>
    <w:rsid w:val="00EB71F5"/>
    <w:rsid w:val="00ED4442"/>
    <w:rsid w:val="00ED694A"/>
    <w:rsid w:val="00ED76D9"/>
    <w:rsid w:val="00EE3343"/>
    <w:rsid w:val="00EF1FAF"/>
    <w:rsid w:val="00EF24F3"/>
    <w:rsid w:val="00EF3E61"/>
    <w:rsid w:val="00F060A4"/>
    <w:rsid w:val="00F06124"/>
    <w:rsid w:val="00F07523"/>
    <w:rsid w:val="00F132D8"/>
    <w:rsid w:val="00F16B10"/>
    <w:rsid w:val="00F231AB"/>
    <w:rsid w:val="00F24BB1"/>
    <w:rsid w:val="00F304EE"/>
    <w:rsid w:val="00F31887"/>
    <w:rsid w:val="00F3458A"/>
    <w:rsid w:val="00F35671"/>
    <w:rsid w:val="00F366DA"/>
    <w:rsid w:val="00F400C4"/>
    <w:rsid w:val="00F40A43"/>
    <w:rsid w:val="00F40F15"/>
    <w:rsid w:val="00F41E90"/>
    <w:rsid w:val="00F4710F"/>
    <w:rsid w:val="00F505B2"/>
    <w:rsid w:val="00F53A81"/>
    <w:rsid w:val="00F57D8D"/>
    <w:rsid w:val="00F60E88"/>
    <w:rsid w:val="00F617B7"/>
    <w:rsid w:val="00F62DA5"/>
    <w:rsid w:val="00F73B29"/>
    <w:rsid w:val="00F757F6"/>
    <w:rsid w:val="00F823B7"/>
    <w:rsid w:val="00F82B69"/>
    <w:rsid w:val="00F86321"/>
    <w:rsid w:val="00F90437"/>
    <w:rsid w:val="00F91188"/>
    <w:rsid w:val="00F9546C"/>
    <w:rsid w:val="00F96CF9"/>
    <w:rsid w:val="00F97B72"/>
    <w:rsid w:val="00FA10A8"/>
    <w:rsid w:val="00FA1427"/>
    <w:rsid w:val="00FA45BA"/>
    <w:rsid w:val="00FA4B03"/>
    <w:rsid w:val="00FA5296"/>
    <w:rsid w:val="00FB1F93"/>
    <w:rsid w:val="00FB48DF"/>
    <w:rsid w:val="00FB5972"/>
    <w:rsid w:val="00FB632F"/>
    <w:rsid w:val="00FC07D0"/>
    <w:rsid w:val="00FC3BAF"/>
    <w:rsid w:val="00FC5824"/>
    <w:rsid w:val="00FC5D22"/>
    <w:rsid w:val="00FD01BA"/>
    <w:rsid w:val="00FD0CA5"/>
    <w:rsid w:val="00FD4012"/>
    <w:rsid w:val="00FE20F3"/>
    <w:rsid w:val="00FE4D45"/>
    <w:rsid w:val="00FF4F25"/>
    <w:rsid w:val="00FF5079"/>
    <w:rsid w:val="00FF6B57"/>
    <w:rsid w:val="01C94031"/>
    <w:rsid w:val="034B545F"/>
    <w:rsid w:val="0370041C"/>
    <w:rsid w:val="039F5FDF"/>
    <w:rsid w:val="04502931"/>
    <w:rsid w:val="050E1EEF"/>
    <w:rsid w:val="069936E5"/>
    <w:rsid w:val="07C83F88"/>
    <w:rsid w:val="07E86A74"/>
    <w:rsid w:val="08D952A9"/>
    <w:rsid w:val="08EA3D8B"/>
    <w:rsid w:val="094A4E79"/>
    <w:rsid w:val="099B6DC8"/>
    <w:rsid w:val="09A05176"/>
    <w:rsid w:val="09F60E25"/>
    <w:rsid w:val="0A8778CF"/>
    <w:rsid w:val="0ACF4AB7"/>
    <w:rsid w:val="0B1E5BB3"/>
    <w:rsid w:val="0EA553B7"/>
    <w:rsid w:val="0F7536E8"/>
    <w:rsid w:val="0FFD46E9"/>
    <w:rsid w:val="11476048"/>
    <w:rsid w:val="11B2698B"/>
    <w:rsid w:val="11B62709"/>
    <w:rsid w:val="11C742C1"/>
    <w:rsid w:val="123E496D"/>
    <w:rsid w:val="13917BBC"/>
    <w:rsid w:val="14F73DF9"/>
    <w:rsid w:val="16EE6523"/>
    <w:rsid w:val="180609DD"/>
    <w:rsid w:val="19A15078"/>
    <w:rsid w:val="19E31776"/>
    <w:rsid w:val="1A6C7D97"/>
    <w:rsid w:val="1AE27CBD"/>
    <w:rsid w:val="1B2534C8"/>
    <w:rsid w:val="1BFC1095"/>
    <w:rsid w:val="1C8D0983"/>
    <w:rsid w:val="1DC92551"/>
    <w:rsid w:val="1E040896"/>
    <w:rsid w:val="1E2C68DF"/>
    <w:rsid w:val="1E831FCB"/>
    <w:rsid w:val="1E9A44DE"/>
    <w:rsid w:val="1FE642D5"/>
    <w:rsid w:val="21FC26F6"/>
    <w:rsid w:val="24982FD0"/>
    <w:rsid w:val="249A05B3"/>
    <w:rsid w:val="24BC27E7"/>
    <w:rsid w:val="2518198B"/>
    <w:rsid w:val="25BD59F7"/>
    <w:rsid w:val="275A5F10"/>
    <w:rsid w:val="28891056"/>
    <w:rsid w:val="28AC7B32"/>
    <w:rsid w:val="29186D61"/>
    <w:rsid w:val="297F453D"/>
    <w:rsid w:val="29C63C32"/>
    <w:rsid w:val="2A6864D4"/>
    <w:rsid w:val="2ACB64E6"/>
    <w:rsid w:val="2B5F116F"/>
    <w:rsid w:val="2B9971AD"/>
    <w:rsid w:val="2B9F5D14"/>
    <w:rsid w:val="2CC34755"/>
    <w:rsid w:val="2D9A3099"/>
    <w:rsid w:val="2E837906"/>
    <w:rsid w:val="30C101E6"/>
    <w:rsid w:val="30DD12C6"/>
    <w:rsid w:val="30F82F05"/>
    <w:rsid w:val="31472444"/>
    <w:rsid w:val="31866D7D"/>
    <w:rsid w:val="32B22AC2"/>
    <w:rsid w:val="336F2C48"/>
    <w:rsid w:val="33764811"/>
    <w:rsid w:val="34C16ED2"/>
    <w:rsid w:val="34D5393E"/>
    <w:rsid w:val="3512491C"/>
    <w:rsid w:val="35273EF2"/>
    <w:rsid w:val="35481C9E"/>
    <w:rsid w:val="35E6113D"/>
    <w:rsid w:val="35E97D8C"/>
    <w:rsid w:val="365940C9"/>
    <w:rsid w:val="37292D03"/>
    <w:rsid w:val="37CA14D7"/>
    <w:rsid w:val="37FD53E2"/>
    <w:rsid w:val="38291CE8"/>
    <w:rsid w:val="39C77B75"/>
    <w:rsid w:val="3A452359"/>
    <w:rsid w:val="3AF907AB"/>
    <w:rsid w:val="3B635A32"/>
    <w:rsid w:val="3B936789"/>
    <w:rsid w:val="3C0609B8"/>
    <w:rsid w:val="3C793983"/>
    <w:rsid w:val="3CB41FB0"/>
    <w:rsid w:val="3CC25B0D"/>
    <w:rsid w:val="3CDC497F"/>
    <w:rsid w:val="3CFB5926"/>
    <w:rsid w:val="3D41746A"/>
    <w:rsid w:val="3D7B1E56"/>
    <w:rsid w:val="3DF834A4"/>
    <w:rsid w:val="3E9042DD"/>
    <w:rsid w:val="3EFF31C8"/>
    <w:rsid w:val="3FB3553A"/>
    <w:rsid w:val="3FCC4755"/>
    <w:rsid w:val="40527081"/>
    <w:rsid w:val="40962552"/>
    <w:rsid w:val="409A65F6"/>
    <w:rsid w:val="40F02933"/>
    <w:rsid w:val="41AA7CC2"/>
    <w:rsid w:val="41DA40FE"/>
    <w:rsid w:val="424E54C1"/>
    <w:rsid w:val="42E108E2"/>
    <w:rsid w:val="438615E3"/>
    <w:rsid w:val="44C96AE7"/>
    <w:rsid w:val="44F21F9A"/>
    <w:rsid w:val="45A04C3E"/>
    <w:rsid w:val="45F73958"/>
    <w:rsid w:val="47133E5F"/>
    <w:rsid w:val="47BF7454"/>
    <w:rsid w:val="47C00A38"/>
    <w:rsid w:val="48680D99"/>
    <w:rsid w:val="487F351D"/>
    <w:rsid w:val="49993EC0"/>
    <w:rsid w:val="4AB53A1A"/>
    <w:rsid w:val="4B9E6F60"/>
    <w:rsid w:val="4BAC5D20"/>
    <w:rsid w:val="4BCF72DC"/>
    <w:rsid w:val="4C5A127E"/>
    <w:rsid w:val="4D2517D3"/>
    <w:rsid w:val="4E1B6F21"/>
    <w:rsid w:val="4F6C5155"/>
    <w:rsid w:val="50074FC2"/>
    <w:rsid w:val="537E1613"/>
    <w:rsid w:val="544C6E93"/>
    <w:rsid w:val="54C412BA"/>
    <w:rsid w:val="54C46C2B"/>
    <w:rsid w:val="55617957"/>
    <w:rsid w:val="556761AB"/>
    <w:rsid w:val="557B5242"/>
    <w:rsid w:val="55B27702"/>
    <w:rsid w:val="55FA46CF"/>
    <w:rsid w:val="564207A2"/>
    <w:rsid w:val="568F0D14"/>
    <w:rsid w:val="57292CB7"/>
    <w:rsid w:val="58C1391D"/>
    <w:rsid w:val="5959100D"/>
    <w:rsid w:val="5A973837"/>
    <w:rsid w:val="5B424290"/>
    <w:rsid w:val="5BC61DC9"/>
    <w:rsid w:val="5C3767E1"/>
    <w:rsid w:val="5C9D3F96"/>
    <w:rsid w:val="5D1605C2"/>
    <w:rsid w:val="5DF048B7"/>
    <w:rsid w:val="5E2E108D"/>
    <w:rsid w:val="5FC15CB8"/>
    <w:rsid w:val="603800C3"/>
    <w:rsid w:val="60D61E5D"/>
    <w:rsid w:val="615C4F81"/>
    <w:rsid w:val="61A4260B"/>
    <w:rsid w:val="628766FF"/>
    <w:rsid w:val="63100810"/>
    <w:rsid w:val="63791BDC"/>
    <w:rsid w:val="63796E22"/>
    <w:rsid w:val="640106F2"/>
    <w:rsid w:val="655C4FF5"/>
    <w:rsid w:val="65D83ABE"/>
    <w:rsid w:val="66656684"/>
    <w:rsid w:val="66884EE5"/>
    <w:rsid w:val="674E48D7"/>
    <w:rsid w:val="684F0787"/>
    <w:rsid w:val="68756E15"/>
    <w:rsid w:val="69454318"/>
    <w:rsid w:val="69953699"/>
    <w:rsid w:val="6B4C5C22"/>
    <w:rsid w:val="6B8959E2"/>
    <w:rsid w:val="6BAF114E"/>
    <w:rsid w:val="6BC663D8"/>
    <w:rsid w:val="6C0D34B7"/>
    <w:rsid w:val="6C192679"/>
    <w:rsid w:val="6DA30F5D"/>
    <w:rsid w:val="6E297BBB"/>
    <w:rsid w:val="6EAC41FF"/>
    <w:rsid w:val="6EDB4D76"/>
    <w:rsid w:val="6F20111C"/>
    <w:rsid w:val="6FAB6323"/>
    <w:rsid w:val="70322CBC"/>
    <w:rsid w:val="710857CD"/>
    <w:rsid w:val="72C10BF5"/>
    <w:rsid w:val="730D0264"/>
    <w:rsid w:val="74077D06"/>
    <w:rsid w:val="743305EB"/>
    <w:rsid w:val="772D5E3C"/>
    <w:rsid w:val="78BA7A83"/>
    <w:rsid w:val="790D63B1"/>
    <w:rsid w:val="7948236F"/>
    <w:rsid w:val="7AB713DF"/>
    <w:rsid w:val="7ADA3732"/>
    <w:rsid w:val="7B557CD3"/>
    <w:rsid w:val="7BE550DA"/>
    <w:rsid w:val="7BE5666A"/>
    <w:rsid w:val="7C845834"/>
    <w:rsid w:val="7CEC0032"/>
    <w:rsid w:val="7DE5368B"/>
    <w:rsid w:val="7E032D86"/>
    <w:rsid w:val="7E7827B9"/>
    <w:rsid w:val="7E8F5B11"/>
    <w:rsid w:val="7E964FFE"/>
    <w:rsid w:val="7FBE50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Calibri" w:hAnsi="Calibri" w:eastAsia="宋体" w:cs="Times New Roman"/>
      <w:kern w:val="2"/>
      <w:sz w:val="24"/>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5">
    <w:name w:val="heading 2"/>
    <w:basedOn w:val="1"/>
    <w:next w:val="1"/>
    <w:link w:val="47"/>
    <w:qFormat/>
    <w:uiPriority w:val="0"/>
    <w:pPr>
      <w:keepNext/>
      <w:keepLines/>
      <w:jc w:val="center"/>
      <w:outlineLvl w:val="1"/>
    </w:pPr>
    <w:rPr>
      <w:rFonts w:ascii="Arial" w:hAnsi="Arial" w:eastAsia="黑体"/>
      <w:b/>
      <w:sz w:val="28"/>
      <w:szCs w:val="20"/>
    </w:rPr>
  </w:style>
  <w:style w:type="paragraph" w:styleId="6">
    <w:name w:val="heading 3"/>
    <w:basedOn w:val="1"/>
    <w:next w:val="1"/>
    <w:link w:val="51"/>
    <w:qFormat/>
    <w:uiPriority w:val="0"/>
    <w:pPr>
      <w:keepNext/>
      <w:keepLines/>
      <w:ind w:firstLine="0" w:firstLineChars="0"/>
      <w:jc w:val="left"/>
      <w:outlineLvl w:val="2"/>
    </w:pPr>
    <w:rPr>
      <w:rFonts w:ascii="黑体" w:hAnsi="黑体" w:eastAsia="黑体"/>
      <w:sz w:val="28"/>
      <w:szCs w:val="20"/>
    </w:rPr>
  </w:style>
  <w:style w:type="paragraph" w:styleId="7">
    <w:name w:val="heading 4"/>
    <w:basedOn w:val="1"/>
    <w:next w:val="1"/>
    <w:link w:val="50"/>
    <w:qFormat/>
    <w:uiPriority w:val="0"/>
    <w:pPr>
      <w:keepNext/>
      <w:keepLines/>
      <w:outlineLvl w:val="3"/>
    </w:pPr>
    <w:rPr>
      <w:rFonts w:ascii="Arial" w:hAnsi="Arial"/>
      <w:b/>
      <w:bCs/>
      <w:szCs w:val="28"/>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5"/>
    <w:unhideWhenUsed/>
    <w:qFormat/>
    <w:uiPriority w:val="0"/>
    <w:pPr>
      <w:spacing w:after="120"/>
    </w:pPr>
  </w:style>
  <w:style w:type="paragraph" w:styleId="3">
    <w:name w:val="Plain Text"/>
    <w:basedOn w:val="1"/>
    <w:qFormat/>
    <w:uiPriority w:val="0"/>
    <w:rPr>
      <w:rFonts w:ascii="宋体"/>
    </w:rPr>
  </w:style>
  <w:style w:type="paragraph" w:styleId="8">
    <w:name w:val="toc 7"/>
    <w:basedOn w:val="1"/>
    <w:next w:val="1"/>
    <w:qFormat/>
    <w:uiPriority w:val="39"/>
    <w:pPr>
      <w:ind w:left="1200" w:leftChars="1200"/>
    </w:pPr>
  </w:style>
  <w:style w:type="paragraph" w:styleId="9">
    <w:name w:val="Normal Indent"/>
    <w:basedOn w:val="1"/>
    <w:qFormat/>
    <w:uiPriority w:val="0"/>
  </w:style>
  <w:style w:type="paragraph" w:styleId="10">
    <w:name w:val="Document Map"/>
    <w:basedOn w:val="1"/>
    <w:qFormat/>
    <w:uiPriority w:val="0"/>
    <w:rPr>
      <w:rFonts w:ascii="宋体" w:cs="宋体"/>
      <w:sz w:val="18"/>
      <w:szCs w:val="18"/>
    </w:rPr>
  </w:style>
  <w:style w:type="paragraph" w:styleId="11">
    <w:name w:val="annotation text"/>
    <w:basedOn w:val="1"/>
    <w:link w:val="42"/>
    <w:qFormat/>
    <w:uiPriority w:val="0"/>
    <w:pPr>
      <w:jc w:val="left"/>
    </w:pPr>
    <w:rPr>
      <w:rFonts w:ascii="Times New Roman" w:hAnsi="Times New Roman"/>
      <w:szCs w:val="20"/>
    </w:rPr>
  </w:style>
  <w:style w:type="paragraph" w:styleId="12">
    <w:name w:val="Body Text 3"/>
    <w:basedOn w:val="1"/>
    <w:link w:val="43"/>
    <w:qFormat/>
    <w:uiPriority w:val="0"/>
    <w:rPr>
      <w:rFonts w:ascii="宋体"/>
      <w:szCs w:val="20"/>
    </w:rPr>
  </w:style>
  <w:style w:type="paragraph" w:styleId="13">
    <w:name w:val="toc 5"/>
    <w:basedOn w:val="1"/>
    <w:next w:val="1"/>
    <w:qFormat/>
    <w:uiPriority w:val="39"/>
    <w:pPr>
      <w:ind w:left="800" w:leftChars="800"/>
    </w:pPr>
  </w:style>
  <w:style w:type="paragraph" w:styleId="14">
    <w:name w:val="toc 3"/>
    <w:basedOn w:val="1"/>
    <w:next w:val="1"/>
    <w:qFormat/>
    <w:uiPriority w:val="39"/>
    <w:pPr>
      <w:ind w:left="400" w:leftChars="400"/>
    </w:pPr>
  </w:style>
  <w:style w:type="paragraph" w:styleId="15">
    <w:name w:val="toc 8"/>
    <w:basedOn w:val="1"/>
    <w:next w:val="1"/>
    <w:qFormat/>
    <w:uiPriority w:val="39"/>
    <w:pPr>
      <w:ind w:left="1400" w:leftChars="1400"/>
    </w:pPr>
  </w:style>
  <w:style w:type="paragraph" w:styleId="16">
    <w:name w:val="Date"/>
    <w:basedOn w:val="1"/>
    <w:next w:val="1"/>
    <w:qFormat/>
    <w:uiPriority w:val="0"/>
    <w:pPr>
      <w:ind w:left="2500" w:leftChars="2500"/>
    </w:pPr>
    <w:rPr>
      <w:rFonts w:ascii="Times New Roman" w:hAnsi="Times New Roman"/>
      <w:szCs w:val="20"/>
    </w:rPr>
  </w:style>
  <w:style w:type="paragraph" w:styleId="17">
    <w:name w:val="Balloon Text"/>
    <w:basedOn w:val="1"/>
    <w:qFormat/>
    <w:uiPriority w:val="0"/>
    <w:rPr>
      <w:rFonts w:ascii="Times New Roman" w:hAnsi="Times New Roman"/>
      <w:sz w:val="18"/>
      <w:szCs w:val="20"/>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tabs>
        <w:tab w:val="center" w:pos="4153"/>
        <w:tab w:val="right" w:pos="8306"/>
      </w:tabs>
      <w:snapToGrid w:val="0"/>
    </w:pPr>
    <w:rPr>
      <w:rFonts w:ascii="Times New Roman" w:hAnsi="Times New Roman"/>
      <w:sz w:val="18"/>
      <w:szCs w:val="20"/>
    </w:rPr>
  </w:style>
  <w:style w:type="paragraph" w:styleId="20">
    <w:name w:val="toc 1"/>
    <w:basedOn w:val="1"/>
    <w:next w:val="1"/>
    <w:qFormat/>
    <w:uiPriority w:val="39"/>
  </w:style>
  <w:style w:type="paragraph" w:styleId="21">
    <w:name w:val="toc 4"/>
    <w:basedOn w:val="1"/>
    <w:next w:val="1"/>
    <w:qFormat/>
    <w:uiPriority w:val="39"/>
    <w:pPr>
      <w:ind w:left="600" w:leftChars="600"/>
    </w:p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lang w:val="zh-CN"/>
    </w:rPr>
  </w:style>
  <w:style w:type="paragraph" w:styleId="23">
    <w:name w:val="toc 6"/>
    <w:basedOn w:val="1"/>
    <w:next w:val="1"/>
    <w:qFormat/>
    <w:uiPriority w:val="39"/>
    <w:pPr>
      <w:ind w:left="1000" w:leftChars="1000"/>
    </w:pPr>
  </w:style>
  <w:style w:type="paragraph" w:styleId="24">
    <w:name w:val="Body Text Indent 3"/>
    <w:basedOn w:val="1"/>
    <w:qFormat/>
    <w:uiPriority w:val="0"/>
    <w:pPr>
      <w:spacing w:after="120"/>
      <w:ind w:left="200" w:leftChars="200"/>
    </w:pPr>
    <w:rPr>
      <w:sz w:val="16"/>
      <w:szCs w:val="16"/>
    </w:rPr>
  </w:style>
  <w:style w:type="paragraph" w:styleId="25">
    <w:name w:val="toc 2"/>
    <w:basedOn w:val="1"/>
    <w:next w:val="1"/>
    <w:qFormat/>
    <w:uiPriority w:val="39"/>
    <w:pPr>
      <w:ind w:left="200" w:leftChars="200"/>
    </w:pPr>
  </w:style>
  <w:style w:type="paragraph" w:styleId="26">
    <w:name w:val="toc 9"/>
    <w:basedOn w:val="1"/>
    <w:next w:val="1"/>
    <w:qFormat/>
    <w:uiPriority w:val="39"/>
    <w:pPr>
      <w:ind w:left="1600" w:leftChars="1600"/>
    </w:pPr>
  </w:style>
  <w:style w:type="paragraph" w:styleId="27">
    <w:name w:val="Normal (Web)"/>
    <w:basedOn w:val="1"/>
    <w:semiHidden/>
    <w:unhideWhenUsed/>
    <w:qFormat/>
    <w:uiPriority w:val="0"/>
    <w:rPr>
      <w:rFonts w:ascii="Times New Roman" w:hAnsi="Times New Roman"/>
      <w:szCs w:val="24"/>
    </w:rPr>
  </w:style>
  <w:style w:type="paragraph" w:styleId="28">
    <w:name w:val="annotation subject"/>
    <w:basedOn w:val="11"/>
    <w:next w:val="11"/>
    <w:qFormat/>
    <w:uiPriority w:val="0"/>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0"/>
    <w:rPr>
      <w:b/>
      <w:bCs/>
    </w:rPr>
  </w:style>
  <w:style w:type="character" w:styleId="33">
    <w:name w:val="page number"/>
    <w:basedOn w:val="31"/>
    <w:qFormat/>
    <w:uiPriority w:val="0"/>
  </w:style>
  <w:style w:type="character" w:styleId="34">
    <w:name w:val="Hyperlink"/>
    <w:qFormat/>
    <w:uiPriority w:val="99"/>
    <w:rPr>
      <w:color w:val="0000FF"/>
      <w:u w:val="single"/>
    </w:rPr>
  </w:style>
  <w:style w:type="character" w:styleId="35">
    <w:name w:val="annotation reference"/>
    <w:qFormat/>
    <w:uiPriority w:val="0"/>
    <w:rPr>
      <w:sz w:val="21"/>
    </w:rPr>
  </w:style>
  <w:style w:type="character" w:customStyle="1" w:styleId="36">
    <w:name w:val="style_kwd"/>
    <w:basedOn w:val="31"/>
    <w:qFormat/>
    <w:uiPriority w:val="0"/>
  </w:style>
  <w:style w:type="character" w:customStyle="1" w:styleId="37">
    <w:name w:val="批注文字 Char1"/>
    <w:qFormat/>
    <w:uiPriority w:val="0"/>
    <w:rPr>
      <w:rFonts w:ascii="Times New Roman" w:hAnsi="Times New Roman" w:eastAsia="宋体" w:cs="Times New Roman"/>
      <w:sz w:val="20"/>
      <w:szCs w:val="20"/>
      <w:lang w:bidi="ar-SA"/>
    </w:rPr>
  </w:style>
  <w:style w:type="character" w:customStyle="1" w:styleId="38">
    <w:name w:val="Comment Text Char"/>
    <w:qFormat/>
    <w:uiPriority w:val="0"/>
  </w:style>
  <w:style w:type="paragraph" w:customStyle="1" w:styleId="39">
    <w:name w:val="修订1"/>
    <w:qFormat/>
    <w:uiPriority w:val="0"/>
    <w:rPr>
      <w:rFonts w:ascii="Times New Roman" w:hAnsi="Times New Roman" w:eastAsia="宋体" w:cs="Times New Roman"/>
      <w:kern w:val="2"/>
      <w:sz w:val="21"/>
      <w:lang w:val="en-US" w:eastAsia="zh-CN" w:bidi="ar-SA"/>
    </w:rPr>
  </w:style>
  <w:style w:type="paragraph" w:customStyle="1" w:styleId="40">
    <w:name w:val="_Style 23"/>
    <w:basedOn w:val="1"/>
    <w:qFormat/>
    <w:uiPriority w:val="0"/>
    <w:pPr>
      <w:widowControl/>
      <w:spacing w:after="160" w:line="240" w:lineRule="exact"/>
      <w:jc w:val="left"/>
    </w:pPr>
  </w:style>
  <w:style w:type="paragraph" w:customStyle="1" w:styleId="41">
    <w:name w:val="TOC 标题1"/>
    <w:basedOn w:val="4"/>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42">
    <w:name w:val="批注文字 Char"/>
    <w:basedOn w:val="31"/>
    <w:link w:val="11"/>
    <w:qFormat/>
    <w:uiPriority w:val="0"/>
    <w:rPr>
      <w:rFonts w:eastAsia="宋体"/>
      <w:kern w:val="2"/>
      <w:sz w:val="21"/>
    </w:rPr>
  </w:style>
  <w:style w:type="character" w:customStyle="1" w:styleId="43">
    <w:name w:val="正文文本 3 Char"/>
    <w:basedOn w:val="31"/>
    <w:link w:val="12"/>
    <w:qFormat/>
    <w:uiPriority w:val="0"/>
    <w:rPr>
      <w:rFonts w:ascii="宋体" w:hAnsi="Calibri" w:eastAsia="宋体"/>
      <w:kern w:val="2"/>
      <w:sz w:val="24"/>
    </w:rPr>
  </w:style>
  <w:style w:type="character" w:customStyle="1" w:styleId="44">
    <w:name w:val="font161"/>
    <w:qFormat/>
    <w:uiPriority w:val="0"/>
    <w:rPr>
      <w:b/>
      <w:bCs/>
      <w:sz w:val="32"/>
      <w:szCs w:val="32"/>
    </w:rPr>
  </w:style>
  <w:style w:type="character" w:customStyle="1" w:styleId="45">
    <w:name w:val="正文文本 Char"/>
    <w:basedOn w:val="31"/>
    <w:link w:val="2"/>
    <w:qFormat/>
    <w:uiPriority w:val="0"/>
    <w:rPr>
      <w:rFonts w:ascii="Calibri" w:hAnsi="Calibri" w:eastAsia="宋体"/>
      <w:kern w:val="2"/>
      <w:sz w:val="21"/>
      <w:szCs w:val="22"/>
    </w:rPr>
  </w:style>
  <w:style w:type="paragraph" w:customStyle="1" w:styleId="46">
    <w:name w:val="Table Paragraph"/>
    <w:basedOn w:val="1"/>
    <w:qFormat/>
    <w:uiPriority w:val="99"/>
    <w:pPr>
      <w:autoSpaceDE w:val="0"/>
      <w:autoSpaceDN w:val="0"/>
      <w:jc w:val="left"/>
    </w:pPr>
    <w:rPr>
      <w:rFonts w:ascii="宋体" w:hAnsi="宋体" w:cs="宋体"/>
      <w:kern w:val="0"/>
      <w:sz w:val="22"/>
      <w:lang w:val="zh-CN" w:bidi="zh-CN"/>
    </w:rPr>
  </w:style>
  <w:style w:type="character" w:customStyle="1" w:styleId="47">
    <w:name w:val="标题 2 Char"/>
    <w:basedOn w:val="31"/>
    <w:link w:val="5"/>
    <w:qFormat/>
    <w:locked/>
    <w:uiPriority w:val="99"/>
    <w:rPr>
      <w:rFonts w:ascii="Arial" w:hAnsi="Arial" w:eastAsia="黑体"/>
      <w:b/>
      <w:kern w:val="2"/>
      <w:sz w:val="28"/>
    </w:rPr>
  </w:style>
  <w:style w:type="paragraph" w:customStyle="1" w:styleId="48">
    <w:name w:val="样式8"/>
    <w:basedOn w:val="1"/>
    <w:qFormat/>
    <w:uiPriority w:val="0"/>
    <w:pPr>
      <w:jc w:val="left"/>
    </w:pPr>
    <w:rPr>
      <w:rFonts w:ascii="宋体"/>
    </w:rPr>
  </w:style>
  <w:style w:type="paragraph" w:customStyle="1" w:styleId="49">
    <w:name w:val="WPSOffice手动目录 1"/>
    <w:qFormat/>
    <w:uiPriority w:val="0"/>
    <w:rPr>
      <w:rFonts w:ascii="Times New Roman" w:hAnsi="Times New Roman" w:eastAsia="宋体" w:cs="Times New Roman"/>
      <w:lang w:val="en-US" w:eastAsia="zh-CN" w:bidi="ar-SA"/>
    </w:rPr>
  </w:style>
  <w:style w:type="character" w:customStyle="1" w:styleId="50">
    <w:name w:val="标题 4 Char"/>
    <w:link w:val="7"/>
    <w:qFormat/>
    <w:uiPriority w:val="0"/>
    <w:rPr>
      <w:rFonts w:ascii="Arial" w:hAnsi="Arial"/>
      <w:b/>
      <w:bCs/>
      <w:szCs w:val="28"/>
    </w:rPr>
  </w:style>
  <w:style w:type="character" w:customStyle="1" w:styleId="51">
    <w:name w:val="标题 3 Char"/>
    <w:link w:val="6"/>
    <w:qFormat/>
    <w:uiPriority w:val="0"/>
    <w:rPr>
      <w:rFonts w:ascii="黑体" w:hAnsi="黑体" w:eastAsia="黑体"/>
      <w:sz w:val="28"/>
      <w:szCs w:val="20"/>
    </w:rPr>
  </w:style>
  <w:style w:type="character" w:customStyle="1" w:styleId="52">
    <w:name w:val="font01"/>
    <w:basedOn w:val="31"/>
    <w:qFormat/>
    <w:uiPriority w:val="0"/>
    <w:rPr>
      <w:rFonts w:hint="default" w:ascii="Times New Roman" w:hAnsi="Times New Roman" w:cs="Times New Roman"/>
      <w:color w:val="000000"/>
      <w:sz w:val="24"/>
      <w:szCs w:val="24"/>
      <w:u w:val="none"/>
    </w:rPr>
  </w:style>
  <w:style w:type="character" w:customStyle="1" w:styleId="53">
    <w:name w:val="font11"/>
    <w:basedOn w:val="31"/>
    <w:qFormat/>
    <w:uiPriority w:val="0"/>
    <w:rPr>
      <w:rFonts w:hint="eastAsia" w:ascii="宋体" w:hAnsi="宋体" w:eastAsia="宋体" w:cs="宋体"/>
      <w:color w:val="000000"/>
      <w:sz w:val="24"/>
      <w:szCs w:val="24"/>
      <w:u w:val="none"/>
    </w:rPr>
  </w:style>
  <w:style w:type="character" w:customStyle="1" w:styleId="54">
    <w:name w:val="font21"/>
    <w:basedOn w:val="31"/>
    <w:qFormat/>
    <w:uiPriority w:val="0"/>
    <w:rPr>
      <w:rFonts w:hint="eastAsia" w:ascii="宋体" w:hAnsi="宋体" w:eastAsia="宋体" w:cs="宋体"/>
      <w:color w:val="000000"/>
      <w:sz w:val="36"/>
      <w:szCs w:val="36"/>
      <w:u w:val="none"/>
    </w:rPr>
  </w:style>
  <w:style w:type="character" w:customStyle="1" w:styleId="55">
    <w:name w:val="font51"/>
    <w:basedOn w:val="31"/>
    <w:qFormat/>
    <w:uiPriority w:val="0"/>
    <w:rPr>
      <w:rFonts w:hint="default" w:ascii="Times New Roman" w:hAnsi="Times New Roman" w:cs="Times New Roman"/>
      <w:color w:val="000000"/>
      <w:sz w:val="22"/>
      <w:szCs w:val="22"/>
      <w:u w:val="none"/>
    </w:rPr>
  </w:style>
  <w:style w:type="paragraph" w:customStyle="1" w:styleId="56">
    <w:name w:val="正文（绿盟科技）"/>
    <w:qFormat/>
    <w:uiPriority w:val="0"/>
    <w:pPr>
      <w:spacing w:line="300" w:lineRule="auto"/>
    </w:pPr>
    <w:rPr>
      <w:rFonts w:ascii="Arial" w:hAnsi="Arial" w:eastAsia="宋体" w:cs="黑体"/>
      <w:sz w:val="21"/>
      <w:szCs w:val="21"/>
      <w:lang w:val="en-US" w:eastAsia="zh-CN" w:bidi="ar-SA"/>
    </w:rPr>
  </w:style>
  <w:style w:type="paragraph" w:styleId="57">
    <w:name w:val="List Paragraph"/>
    <w:basedOn w:val="1"/>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34CCCE-89A5-4D65-8D78-5A1E497CC6A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51</Pages>
  <Words>3256</Words>
  <Characters>18562</Characters>
  <Lines>154</Lines>
  <Paragraphs>43</Paragraphs>
  <TotalTime>14</TotalTime>
  <ScaleCrop>false</ScaleCrop>
  <LinksUpToDate>false</LinksUpToDate>
  <CharactersWithSpaces>21775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2021-04-19T01:11:00Z</dcterms:created>
  <dc:creator>袁静</dc:creator>
  <cp:lastModifiedBy>空山新雨后</cp:lastModifiedBy>
  <cp:lastPrinted>2021-04-19T01:12:00Z</cp:lastPrinted>
  <dcterms:modified xsi:type="dcterms:W3CDTF">2021-05-14T03:22:06Z</dcterms:modified>
  <dc:title>中华人民共和国</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9D4AD7CEF8984FACBEE7C16692554E22</vt:lpwstr>
  </property>
</Properties>
</file>